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A059F3" w:rsidP="00A059F3">
      <w:pPr>
        <w:jc w:val="both"/>
        <w:rPr>
          <w:lang w:val="de-DE"/>
        </w:rPr>
      </w:pPr>
      <w:bookmarkStart w:id="0" w:name="_GoBack"/>
      <w:bookmarkEnd w:id="0"/>
      <w:r>
        <w:rPr>
          <w:rFonts w:cs="Courier"/>
          <w:b/>
          <w:bCs/>
          <w:lang w:val="de-DE"/>
        </w:rPr>
        <w:t>5. NOVEMBER </w:t>
      </w:r>
      <w:r w:rsidRPr="00A059F3">
        <w:rPr>
          <w:rFonts w:cs="Courier"/>
          <w:b/>
          <w:bCs/>
          <w:lang w:val="de-DE"/>
        </w:rPr>
        <w:t xml:space="preserve">1993 </w:t>
      </w:r>
      <w:r>
        <w:rPr>
          <w:rFonts w:cs="Courier"/>
          <w:b/>
          <w:bCs/>
          <w:lang w:val="de-DE"/>
        </w:rPr>
        <w:t xml:space="preserve">- </w:t>
      </w:r>
      <w:r w:rsidRPr="00A059F3">
        <w:rPr>
          <w:rFonts w:cs="Courier"/>
          <w:b/>
          <w:bCs/>
          <w:lang w:val="de-DE"/>
        </w:rPr>
        <w:t>Gesetz vom zur Abänderung der Artikel</w:t>
      </w:r>
      <w:r>
        <w:rPr>
          <w:rFonts w:cs="Courier"/>
          <w:b/>
          <w:bCs/>
          <w:lang w:val="de-DE"/>
        </w:rPr>
        <w:t> </w:t>
      </w:r>
      <w:r w:rsidRPr="00A059F3">
        <w:rPr>
          <w:rFonts w:cs="Courier"/>
          <w:b/>
          <w:bCs/>
          <w:lang w:val="de-DE"/>
        </w:rPr>
        <w:t>52,</w:t>
      </w:r>
      <w:r>
        <w:rPr>
          <w:rFonts w:cs="Courier"/>
          <w:b/>
          <w:bCs/>
          <w:lang w:val="de-DE"/>
        </w:rPr>
        <w:t xml:space="preserve"> 53 und 68 des Gesetzes vom 14. </w:t>
      </w:r>
      <w:r w:rsidRPr="00A059F3">
        <w:rPr>
          <w:rFonts w:cs="Courier"/>
          <w:b/>
          <w:bCs/>
          <w:lang w:val="de-DE"/>
        </w:rPr>
        <w:t>Juli</w:t>
      </w:r>
      <w:r>
        <w:rPr>
          <w:rFonts w:cs="Courier"/>
          <w:b/>
          <w:bCs/>
          <w:lang w:val="de-DE"/>
        </w:rPr>
        <w:t> </w:t>
      </w:r>
      <w:r w:rsidRPr="00A059F3">
        <w:rPr>
          <w:rFonts w:cs="Courier"/>
          <w:b/>
          <w:bCs/>
          <w:lang w:val="de-DE"/>
        </w:rPr>
        <w:t>1991 über die Handelspraktiken sowie die Aufklärung und den Schutz der Verbraucher</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A059F3">
        <w:rPr>
          <w:lang w:val="de-DE"/>
        </w:rPr>
        <w:t>22. September 1994</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A059F3" w:rsidRPr="00A059F3" w:rsidRDefault="00A059F3" w:rsidP="00A059F3">
      <w:pPr>
        <w:jc w:val="center"/>
        <w:rPr>
          <w:rFonts w:cs="Courier"/>
          <w:b/>
          <w:bCs/>
          <w:caps/>
          <w:lang w:val="de-DE"/>
        </w:rPr>
      </w:pPr>
      <w:r w:rsidRPr="00A059F3">
        <w:rPr>
          <w:rFonts w:cs="Courier"/>
          <w:b/>
          <w:bCs/>
          <w:caps/>
        </w:rPr>
        <w:lastRenderedPageBreak/>
        <w:t>Ministerium der Wirtschaftsangelegenheiten</w:t>
      </w:r>
    </w:p>
    <w:p w:rsidR="00A059F3" w:rsidRDefault="00A059F3" w:rsidP="00A059F3">
      <w:pPr>
        <w:jc w:val="both"/>
        <w:rPr>
          <w:rFonts w:cs="Courier"/>
          <w:b/>
          <w:bCs/>
          <w:lang w:val="de-DE"/>
        </w:rPr>
      </w:pPr>
    </w:p>
    <w:p w:rsidR="00A059F3" w:rsidRDefault="00A059F3" w:rsidP="00A059F3">
      <w:pPr>
        <w:jc w:val="both"/>
        <w:rPr>
          <w:rFonts w:cs="Courier"/>
          <w:b/>
          <w:bCs/>
          <w:lang w:val="de-DE"/>
        </w:rPr>
      </w:pPr>
    </w:p>
    <w:p w:rsidR="00A059F3" w:rsidRPr="00A059F3" w:rsidRDefault="00A059F3" w:rsidP="00A059F3">
      <w:pPr>
        <w:jc w:val="both"/>
        <w:rPr>
          <w:rFonts w:cs="Courier"/>
          <w:lang w:val="de-DE"/>
        </w:rPr>
      </w:pPr>
      <w:r>
        <w:rPr>
          <w:rFonts w:cs="Courier"/>
          <w:b/>
          <w:bCs/>
          <w:lang w:val="de-DE"/>
        </w:rPr>
        <w:t>5. NOVEMBER </w:t>
      </w:r>
      <w:r w:rsidRPr="00A059F3">
        <w:rPr>
          <w:rFonts w:cs="Courier"/>
          <w:b/>
          <w:bCs/>
          <w:lang w:val="de-DE"/>
        </w:rPr>
        <w:t xml:space="preserve">1993 </w:t>
      </w:r>
      <w:r>
        <w:rPr>
          <w:rFonts w:cs="Courier"/>
          <w:b/>
          <w:bCs/>
          <w:lang w:val="de-DE"/>
        </w:rPr>
        <w:t xml:space="preserve">- </w:t>
      </w:r>
      <w:r w:rsidRPr="00A059F3">
        <w:rPr>
          <w:rFonts w:cs="Courier"/>
          <w:b/>
          <w:bCs/>
          <w:lang w:val="de-DE"/>
        </w:rPr>
        <w:t>Gesetz vom zur Abänderung der Artikel</w:t>
      </w:r>
      <w:r>
        <w:rPr>
          <w:rFonts w:cs="Courier"/>
          <w:b/>
          <w:bCs/>
          <w:lang w:val="de-DE"/>
        </w:rPr>
        <w:t> </w:t>
      </w:r>
      <w:r w:rsidRPr="00A059F3">
        <w:rPr>
          <w:rFonts w:cs="Courier"/>
          <w:b/>
          <w:bCs/>
          <w:lang w:val="de-DE"/>
        </w:rPr>
        <w:t>52,</w:t>
      </w:r>
      <w:r>
        <w:rPr>
          <w:rFonts w:cs="Courier"/>
          <w:b/>
          <w:bCs/>
          <w:lang w:val="de-DE"/>
        </w:rPr>
        <w:t xml:space="preserve"> 53 und 68 des Gesetzes vom 14. </w:t>
      </w:r>
      <w:r w:rsidRPr="00A059F3">
        <w:rPr>
          <w:rFonts w:cs="Courier"/>
          <w:b/>
          <w:bCs/>
          <w:lang w:val="de-DE"/>
        </w:rPr>
        <w:t>Juli</w:t>
      </w:r>
      <w:r>
        <w:rPr>
          <w:rFonts w:cs="Courier"/>
          <w:b/>
          <w:bCs/>
          <w:lang w:val="de-DE"/>
        </w:rPr>
        <w:t> </w:t>
      </w:r>
      <w:r w:rsidRPr="00A059F3">
        <w:rPr>
          <w:rFonts w:cs="Courier"/>
          <w:b/>
          <w:bCs/>
          <w:lang w:val="de-DE"/>
        </w:rPr>
        <w:t>1991 über die Handelspraktiken sowie die Aufklärung und den Schutz der Verbraucher</w:t>
      </w:r>
    </w:p>
    <w:p w:rsidR="00A059F3" w:rsidRDefault="00A059F3">
      <w:pPr>
        <w:rPr>
          <w:rFonts w:cs="Courier"/>
          <w:lang w:val="de-DE"/>
        </w:rPr>
      </w:pPr>
    </w:p>
    <w:p w:rsidR="00A059F3" w:rsidRDefault="00A059F3">
      <w:pPr>
        <w:rPr>
          <w:rFonts w:cs="Courier"/>
          <w:lang w:val="de-DE"/>
        </w:rPr>
      </w:pPr>
    </w:p>
    <w:p w:rsidR="00A059F3" w:rsidRDefault="00A059F3">
      <w:pPr>
        <w:jc w:val="both"/>
        <w:rPr>
          <w:rFonts w:cs="Courier"/>
          <w:lang w:val="de-DE"/>
        </w:rPr>
      </w:pPr>
      <w:r>
        <w:rPr>
          <w:rFonts w:cs="Courier"/>
          <w:lang w:val="de-DE"/>
        </w:rPr>
        <w:tab/>
      </w:r>
      <w:r>
        <w:rPr>
          <w:rFonts w:cs="Courier"/>
          <w:lang w:val="de-DE"/>
        </w:rPr>
        <w:tab/>
      </w:r>
      <w:r>
        <w:rPr>
          <w:rFonts w:cs="Courier"/>
          <w:lang w:val="de-DE"/>
        </w:rPr>
        <w:tab/>
        <w:t>ALBERT II., König der Belgier,</w:t>
      </w:r>
    </w:p>
    <w:p w:rsidR="00A059F3" w:rsidRDefault="00A059F3">
      <w:pPr>
        <w:jc w:val="both"/>
        <w:rPr>
          <w:rFonts w:cs="Courier"/>
          <w:lang w:val="de-DE"/>
        </w:rPr>
      </w:pPr>
    </w:p>
    <w:p w:rsidR="00A059F3" w:rsidRDefault="00A059F3">
      <w:pPr>
        <w:jc w:val="both"/>
        <w:rPr>
          <w:rFonts w:cs="Courier"/>
          <w:lang w:val="de-DE"/>
        </w:rPr>
      </w:pPr>
      <w:r>
        <w:rPr>
          <w:rFonts w:cs="Courier"/>
          <w:lang w:val="de-DE"/>
        </w:rPr>
        <w:tab/>
      </w:r>
      <w:r>
        <w:rPr>
          <w:rFonts w:cs="Courier"/>
          <w:lang w:val="de-DE"/>
        </w:rPr>
        <w:tab/>
        <w:t>Allen Gegenwärtigen und Zukünftigen, Unser Gruß!</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Die Kammern haben das Folgende angenommen, und Wir sanktionieren es:</w:t>
      </w:r>
    </w:p>
    <w:p w:rsidR="00A059F3" w:rsidRDefault="00A059F3">
      <w:pPr>
        <w:jc w:val="both"/>
        <w:rPr>
          <w:rFonts w:cs="Courier"/>
          <w:lang w:val="de-DE"/>
        </w:rPr>
      </w:pPr>
    </w:p>
    <w:p w:rsidR="00A059F3" w:rsidRDefault="00A059F3">
      <w:pPr>
        <w:jc w:val="both"/>
        <w:rPr>
          <w:rFonts w:cs="Courier"/>
          <w:lang w:val="de-DE"/>
        </w:rPr>
      </w:pPr>
    </w:p>
    <w:p w:rsidR="00A059F3" w:rsidRDefault="00A059F3">
      <w:pPr>
        <w:jc w:val="both"/>
        <w:rPr>
          <w:rFonts w:cs="Courier"/>
          <w:lang w:val="de-DE"/>
        </w:rPr>
      </w:pPr>
      <w:r>
        <w:rPr>
          <w:rFonts w:cs="Courier"/>
          <w:b/>
          <w:bCs/>
          <w:lang w:val="de-DE"/>
        </w:rPr>
        <w:tab/>
        <w:t>Artikel 1</w:t>
      </w:r>
      <w:r>
        <w:rPr>
          <w:rFonts w:cs="Courier"/>
          <w:lang w:val="de-DE"/>
        </w:rPr>
        <w:t xml:space="preserve"> - Artikel 52 </w:t>
      </w:r>
      <w:r>
        <w:rPr>
          <w:rFonts w:cs="Courier"/>
          <w:lang w:val="de-DE"/>
        </w:rPr>
        <w:sym w:font="WP TypographicSymbols" w:char="0027"/>
      </w:r>
      <w:r>
        <w:rPr>
          <w:rFonts w:cs="Courier"/>
          <w:lang w:val="de-DE"/>
        </w:rPr>
        <w:t xml:space="preserve"> 1 des Gesetzes vom 14. Juli 1991 über die Handelspraktiken sowie die Aufklärung und den Schutz der Verbraucher wird durch die folgende Bestimmung ersetzt:</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w:t>
      </w:r>
      <w:r>
        <w:rPr>
          <w:rFonts w:cs="Courier"/>
          <w:lang w:val="de-DE"/>
        </w:rPr>
        <w:sym w:font="WP TypographicSymbols" w:char="0027"/>
      </w:r>
      <w:r>
        <w:rPr>
          <w:rFonts w:cs="Courier"/>
          <w:lang w:val="de-DE"/>
        </w:rPr>
        <w:t xml:space="preserve"> 1 - In der Bekleidungs-, Leder-, Feinleder- und Schuhbranche dürfen die in Artikel 49 erwähnten Verkaufsangebote und Verkäufe nur während der Zeiträume vom 3. Januar bis 31. Januar einschließlich und vom 1. Juli bis 31. Juli einschließlich stattfinden."</w:t>
      </w:r>
    </w:p>
    <w:p w:rsidR="00A059F3" w:rsidRDefault="00A059F3">
      <w:pPr>
        <w:jc w:val="both"/>
        <w:rPr>
          <w:rFonts w:cs="Courier"/>
          <w:lang w:val="de-DE"/>
        </w:rPr>
      </w:pPr>
    </w:p>
    <w:p w:rsidR="00A059F3" w:rsidRDefault="00A059F3">
      <w:pPr>
        <w:jc w:val="both"/>
        <w:rPr>
          <w:rFonts w:cs="Courier"/>
          <w:b/>
          <w:bCs/>
          <w:lang w:val="de-DE"/>
        </w:rPr>
      </w:pPr>
    </w:p>
    <w:p w:rsidR="00A059F3" w:rsidRDefault="00A059F3">
      <w:pPr>
        <w:jc w:val="both"/>
        <w:rPr>
          <w:rFonts w:cs="Courier"/>
          <w:lang w:val="de-DE"/>
        </w:rPr>
      </w:pPr>
      <w:r>
        <w:rPr>
          <w:rFonts w:cs="Courier"/>
          <w:b/>
          <w:bCs/>
          <w:lang w:val="de-DE"/>
        </w:rPr>
        <w:tab/>
        <w:t>Artikel 2</w:t>
      </w:r>
      <w:r>
        <w:rPr>
          <w:rFonts w:cs="Courier"/>
          <w:lang w:val="de-DE"/>
        </w:rPr>
        <w:t xml:space="preserve"> - Artikel 53 </w:t>
      </w:r>
      <w:r>
        <w:rPr>
          <w:rFonts w:cs="Courier"/>
          <w:lang w:val="de-DE"/>
        </w:rPr>
        <w:sym w:font="WP TypographicSymbols" w:char="0027"/>
      </w:r>
      <w:r>
        <w:rPr>
          <w:rFonts w:cs="Courier"/>
          <w:lang w:val="de-DE"/>
        </w:rPr>
        <w:t xml:space="preserve"> 1 desselben Gesetzes wird durch die folgende Bestimmung ersetzt:</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w:t>
      </w:r>
      <w:r>
        <w:rPr>
          <w:rFonts w:cs="Courier"/>
          <w:lang w:val="de-DE"/>
        </w:rPr>
        <w:sym w:font="WP TypographicSymbols" w:char="0027"/>
      </w:r>
      <w:r>
        <w:rPr>
          <w:rFonts w:cs="Courier"/>
          <w:lang w:val="de-DE"/>
        </w:rPr>
        <w:t xml:space="preserve"> 1 - In den Wartezeiten vom 15. November bis 2. Januar einschließlich und vom 15. Mai bis 30. Juni einschließlich ist es für die in Artikel 52 </w:t>
      </w:r>
      <w:r>
        <w:rPr>
          <w:rFonts w:cs="Courier"/>
          <w:lang w:val="de-DE"/>
        </w:rPr>
        <w:sym w:font="WP TypographicSymbols" w:char="0027"/>
      </w:r>
      <w:r>
        <w:rPr>
          <w:rFonts w:cs="Courier"/>
          <w:lang w:val="de-DE"/>
        </w:rPr>
        <w:t xml:space="preserve"> 1 erwähnten Branchen untersagt, die in Artikel 42 erwähnten Ankündigungen von Preisermäßigungen und Ankündigungen, die eine Preisermäßigung vermuten lassen, an welchem Ort oder mit welchen Kommunikationsmitteln auch immer vorzunehmen. </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Vor einer Wartezeit ist es untersagt, Ankündigungen von Preisermäßigungen und Ankündigungen, die eine Preisermäßigung vermuten lassen, vorzunehmen, wenn sie während dieser Wartezeit Auswirkung haben.</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 xml:space="preserve">Unbeschadet der Bestimmungen des Artikels 48 </w:t>
      </w:r>
      <w:r>
        <w:rPr>
          <w:rFonts w:cs="Courier"/>
          <w:lang w:val="de-DE"/>
        </w:rPr>
        <w:sym w:font="WP TypographicSymbols" w:char="0027"/>
      </w:r>
      <w:r>
        <w:rPr>
          <w:rFonts w:cs="Courier"/>
          <w:lang w:val="de-DE"/>
        </w:rPr>
        <w:t xml:space="preserve"> 4 dürfen die während einer Wartezeit vorgenommenen Ausverkäufe nicht mit einer Ankündigung einer Preisermäßigung verbunden sein, außer in den Fällen und unter den Bedingungen, die der König bestimmt."</w:t>
      </w:r>
    </w:p>
    <w:p w:rsidR="00A059F3" w:rsidRDefault="00A059F3">
      <w:pPr>
        <w:jc w:val="both"/>
        <w:rPr>
          <w:rFonts w:cs="Courier"/>
          <w:lang w:val="de-DE"/>
        </w:rPr>
      </w:pPr>
    </w:p>
    <w:p w:rsidR="00A059F3" w:rsidRDefault="00A059F3">
      <w:pPr>
        <w:jc w:val="both"/>
        <w:rPr>
          <w:rFonts w:cs="Courier"/>
          <w:b/>
          <w:bCs/>
          <w:lang w:val="de-DE"/>
        </w:rPr>
      </w:pPr>
    </w:p>
    <w:p w:rsidR="00A059F3" w:rsidRDefault="00A059F3">
      <w:pPr>
        <w:jc w:val="both"/>
        <w:rPr>
          <w:rFonts w:cs="Courier"/>
          <w:lang w:val="de-DE"/>
        </w:rPr>
      </w:pPr>
      <w:r>
        <w:rPr>
          <w:rFonts w:cs="Courier"/>
          <w:b/>
          <w:bCs/>
          <w:lang w:val="de-DE"/>
        </w:rPr>
        <w:tab/>
        <w:t>Artikel 3</w:t>
      </w:r>
      <w:r>
        <w:rPr>
          <w:rFonts w:cs="Courier"/>
          <w:lang w:val="de-DE"/>
        </w:rPr>
        <w:t xml:space="preserve"> - Artikel 53 </w:t>
      </w:r>
      <w:r>
        <w:rPr>
          <w:rFonts w:cs="Courier"/>
          <w:lang w:val="de-DE"/>
        </w:rPr>
        <w:sym w:font="WP TypographicSymbols" w:char="0027"/>
      </w:r>
      <w:r>
        <w:rPr>
          <w:rFonts w:cs="Courier"/>
          <w:lang w:val="de-DE"/>
        </w:rPr>
        <w:t xml:space="preserve"> 2 desselben Gesetzes wird durch die folgende Bestimmung ersetzt:</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w:t>
      </w:r>
      <w:r>
        <w:rPr>
          <w:rFonts w:cs="Courier"/>
          <w:lang w:val="de-DE"/>
        </w:rPr>
        <w:sym w:font="WP TypographicSymbols" w:char="0027"/>
      </w:r>
      <w:r>
        <w:rPr>
          <w:rFonts w:cs="Courier"/>
          <w:lang w:val="de-DE"/>
        </w:rPr>
        <w:t xml:space="preserve"> 2 - Die in Anwendung von Artikel 52 </w:t>
      </w:r>
      <w:r>
        <w:rPr>
          <w:rFonts w:cs="Courier"/>
          <w:lang w:val="de-DE"/>
        </w:rPr>
        <w:sym w:font="WP TypographicSymbols" w:char="0027"/>
      </w:r>
      <w:r>
        <w:rPr>
          <w:rFonts w:cs="Courier"/>
          <w:lang w:val="de-DE"/>
        </w:rPr>
        <w:t xml:space="preserve"> 2 ergangenen Erlasse geben die Wartezeiten an, in denen das in </w:t>
      </w:r>
      <w:r>
        <w:rPr>
          <w:rFonts w:cs="Courier"/>
          <w:lang w:val="de-DE"/>
        </w:rPr>
        <w:sym w:font="WP TypographicSymbols" w:char="0027"/>
      </w:r>
      <w:r>
        <w:rPr>
          <w:rFonts w:cs="Courier"/>
          <w:lang w:val="de-DE"/>
        </w:rPr>
        <w:t xml:space="preserve"> 1 erwähnte Verbot zur Anwendung kommt.</w:t>
      </w:r>
    </w:p>
    <w:p w:rsidR="00A059F3" w:rsidRDefault="00A059F3">
      <w:pPr>
        <w:jc w:val="both"/>
        <w:rPr>
          <w:rFonts w:cs="Courier"/>
          <w:lang w:val="de-DE"/>
        </w:rPr>
      </w:pPr>
    </w:p>
    <w:p w:rsidR="00A059F3" w:rsidRDefault="00A059F3">
      <w:pPr>
        <w:jc w:val="both"/>
        <w:rPr>
          <w:rFonts w:cs="Courier"/>
          <w:lang w:val="de-DE"/>
        </w:rPr>
      </w:pPr>
      <w:r>
        <w:rPr>
          <w:rFonts w:cs="Courier"/>
          <w:lang w:val="de-DE"/>
        </w:rPr>
        <w:lastRenderedPageBreak/>
        <w:tab/>
        <w:t xml:space="preserve">In Ermangelung einer Regelung im Sinne von Artikel 52 </w:t>
      </w:r>
      <w:r>
        <w:rPr>
          <w:rFonts w:cs="Courier"/>
          <w:lang w:val="de-DE"/>
        </w:rPr>
        <w:sym w:font="WP TypographicSymbols" w:char="0027"/>
      </w:r>
      <w:r>
        <w:rPr>
          <w:rFonts w:cs="Courier"/>
          <w:lang w:val="de-DE"/>
        </w:rPr>
        <w:t xml:space="preserve"> 2 findet das in </w:t>
      </w:r>
      <w:r>
        <w:rPr>
          <w:rFonts w:cs="Courier"/>
          <w:lang w:val="de-DE"/>
        </w:rPr>
        <w:sym w:font="WP TypographicSymbols" w:char="0027"/>
      </w:r>
      <w:r>
        <w:rPr>
          <w:rFonts w:cs="Courier"/>
          <w:lang w:val="de-DE"/>
        </w:rPr>
        <w:t xml:space="preserve"> 1 erwähnte Verbot ebenfalls Anwendung auf die im besagten Artikel 52 </w:t>
      </w:r>
      <w:r>
        <w:rPr>
          <w:rFonts w:cs="Courier"/>
          <w:lang w:val="de-DE"/>
        </w:rPr>
        <w:sym w:font="WP TypographicSymbols" w:char="0027"/>
      </w:r>
      <w:r>
        <w:rPr>
          <w:rFonts w:cs="Courier"/>
          <w:lang w:val="de-DE"/>
        </w:rPr>
        <w:t xml:space="preserve"> 2 erwähnten Verkaufsangebote und Verkäufe.</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Der König kann die Waren oder Warenkategorien bestimmen, auf die das im vorangehenden Absatz erwähnte Verbot keine Anwendung findet.</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Vorliegender Paragraph findet keine Anwendung auf Nahrungsmittel."</w:t>
      </w:r>
    </w:p>
    <w:p w:rsidR="00A059F3" w:rsidRDefault="00A059F3">
      <w:pPr>
        <w:jc w:val="both"/>
        <w:rPr>
          <w:rFonts w:cs="Courier"/>
          <w:lang w:val="de-DE"/>
        </w:rPr>
      </w:pPr>
    </w:p>
    <w:p w:rsidR="00A059F3" w:rsidRDefault="00A059F3">
      <w:pPr>
        <w:jc w:val="both"/>
        <w:rPr>
          <w:rFonts w:cs="Courier"/>
          <w:lang w:val="de-DE"/>
        </w:rPr>
      </w:pPr>
    </w:p>
    <w:p w:rsidR="00A059F3" w:rsidRDefault="00A059F3">
      <w:pPr>
        <w:jc w:val="both"/>
        <w:rPr>
          <w:rFonts w:cs="Courier"/>
          <w:lang w:val="de-DE"/>
        </w:rPr>
      </w:pPr>
      <w:r>
        <w:rPr>
          <w:rFonts w:cs="Courier"/>
          <w:b/>
          <w:bCs/>
          <w:lang w:val="de-DE"/>
        </w:rPr>
        <w:tab/>
        <w:t>Artikel 4</w:t>
      </w:r>
      <w:r>
        <w:rPr>
          <w:rFonts w:cs="Courier"/>
          <w:lang w:val="de-DE"/>
        </w:rPr>
        <w:t xml:space="preserve"> - Artikel 68 desselben Gesetzes wird durch die folgende Bestimmung ersetzt:</w:t>
      </w:r>
    </w:p>
    <w:p w:rsidR="00A059F3" w:rsidRDefault="00A059F3">
      <w:pPr>
        <w:jc w:val="both"/>
        <w:rPr>
          <w:rFonts w:cs="Courier"/>
          <w:lang w:val="de-DE"/>
        </w:rPr>
      </w:pPr>
    </w:p>
    <w:p w:rsidR="00A059F3" w:rsidRDefault="00A059F3">
      <w:pPr>
        <w:jc w:val="both"/>
        <w:rPr>
          <w:rFonts w:cs="Courier"/>
          <w:lang w:val="de-DE"/>
        </w:rPr>
      </w:pPr>
      <w:r>
        <w:rPr>
          <w:rFonts w:cs="Courier"/>
          <w:lang w:val="de-DE"/>
        </w:rPr>
        <w:tab/>
        <w:t>"Artikel 68 - Das in Artikel 53 erwähnte oder aufgrund des Artikels 44 auferlegte Verbot beinhaltet ebenfalls das Verbot, Gutscheine zu verteilen, die während der Verbotszeit Anrecht geben auf eine Preisermäßigung in irgendeiner Form."</w:t>
      </w:r>
    </w:p>
    <w:p w:rsidR="00A059F3" w:rsidRDefault="00A059F3">
      <w:pPr>
        <w:jc w:val="both"/>
        <w:rPr>
          <w:rFonts w:cs="Courier"/>
          <w:lang w:val="de-DE"/>
        </w:rPr>
      </w:pPr>
    </w:p>
    <w:p w:rsidR="00A059F3" w:rsidRDefault="00A059F3">
      <w:pPr>
        <w:jc w:val="both"/>
        <w:rPr>
          <w:rFonts w:cs="Courier"/>
          <w:lang w:val="de-DE"/>
        </w:rPr>
      </w:pPr>
    </w:p>
    <w:p w:rsidR="00A059F3" w:rsidRDefault="00A059F3">
      <w:pPr>
        <w:jc w:val="both"/>
        <w:rPr>
          <w:rFonts w:cs="Courier"/>
          <w:lang w:val="de-DE"/>
        </w:rPr>
      </w:pPr>
      <w:r>
        <w:rPr>
          <w:rFonts w:cs="Courier"/>
          <w:b/>
          <w:bCs/>
          <w:lang w:val="de-DE"/>
        </w:rPr>
        <w:tab/>
        <w:t>Artikel 5</w:t>
      </w:r>
      <w:r>
        <w:rPr>
          <w:rFonts w:cs="Courier"/>
          <w:lang w:val="de-DE"/>
        </w:rPr>
        <w:t xml:space="preserve"> - Dieses Gesetz tritt am Tag seiner Veröffentlichung im </w:t>
      </w:r>
      <w:r>
        <w:rPr>
          <w:rFonts w:cs="Courier"/>
          <w:i/>
          <w:iCs/>
          <w:lang w:val="de-DE"/>
        </w:rPr>
        <w:t>Belgischen Staatsblatt</w:t>
      </w:r>
      <w:r>
        <w:rPr>
          <w:rFonts w:cs="Courier"/>
          <w:lang w:val="de-DE"/>
        </w:rPr>
        <w:t xml:space="preserve"> in Kraft.</w:t>
      </w:r>
    </w:p>
    <w:p w:rsidR="00A059F3" w:rsidRDefault="00A059F3">
      <w:pPr>
        <w:jc w:val="both"/>
        <w:rPr>
          <w:rFonts w:cs="Courier"/>
          <w:lang w:val="de-DE"/>
        </w:rPr>
      </w:pPr>
    </w:p>
    <w:p w:rsidR="00A059F3" w:rsidRDefault="00A059F3">
      <w:pPr>
        <w:jc w:val="both"/>
        <w:rPr>
          <w:rFonts w:cs="Courier"/>
          <w:lang w:val="de-DE"/>
        </w:rPr>
      </w:pPr>
    </w:p>
    <w:p w:rsidR="00A059F3" w:rsidRDefault="00A059F3">
      <w:pPr>
        <w:jc w:val="both"/>
        <w:rPr>
          <w:rFonts w:cs="Courier"/>
          <w:lang w:val="de-DE"/>
        </w:rPr>
      </w:pPr>
      <w:r>
        <w:rPr>
          <w:rFonts w:cs="Courier"/>
          <w:lang w:val="de-DE"/>
        </w:rPr>
        <w:tab/>
        <w:t>Wir fertigen das vorliegende Gesetz aus und ordnen an, dass es mit dem Staatssiegel versehen und durch das Belgische Staatsblatt veröffentlicht wird.</w:t>
      </w:r>
    </w:p>
    <w:p w:rsidR="00A059F3" w:rsidRDefault="00A059F3">
      <w:pPr>
        <w:jc w:val="both"/>
        <w:rPr>
          <w:rFonts w:cs="Courier"/>
          <w:lang w:val="de-DE"/>
        </w:rPr>
      </w:pPr>
    </w:p>
    <w:p w:rsidR="00A059F3" w:rsidRDefault="00A059F3">
      <w:pPr>
        <w:jc w:val="both"/>
        <w:rPr>
          <w:rFonts w:cs="Courier"/>
          <w:lang w:val="de-DE"/>
        </w:rPr>
      </w:pPr>
    </w:p>
    <w:p w:rsidR="00A059F3" w:rsidRDefault="00A059F3">
      <w:pPr>
        <w:jc w:val="both"/>
        <w:rPr>
          <w:rFonts w:cs="Courier"/>
          <w:lang w:val="de-DE"/>
        </w:rPr>
      </w:pPr>
      <w:r>
        <w:rPr>
          <w:rFonts w:cs="Courier"/>
          <w:lang w:val="de-DE"/>
        </w:rPr>
        <w:tab/>
        <w:t>Gegeben zu Brüssel, den 5. November 1993.</w:t>
      </w:r>
    </w:p>
    <w:p w:rsidR="00A059F3" w:rsidRDefault="00A059F3">
      <w:pPr>
        <w:jc w:val="both"/>
        <w:rPr>
          <w:rFonts w:cs="Courier"/>
          <w:lang w:val="de-DE"/>
        </w:rPr>
      </w:pPr>
    </w:p>
    <w:p w:rsidR="00A059F3" w:rsidRDefault="00A059F3">
      <w:pPr>
        <w:jc w:val="center"/>
        <w:rPr>
          <w:rFonts w:cs="Courier"/>
          <w:lang w:val="de-DE"/>
        </w:rPr>
      </w:pPr>
    </w:p>
    <w:p w:rsidR="00A059F3" w:rsidRDefault="00A059F3">
      <w:pPr>
        <w:jc w:val="center"/>
        <w:rPr>
          <w:rFonts w:cs="Courier"/>
          <w:lang w:val="de-DE"/>
        </w:rPr>
      </w:pPr>
      <w:r>
        <w:rPr>
          <w:rFonts w:cs="Courier"/>
          <w:lang w:val="de-DE"/>
        </w:rPr>
        <w:t>ALBERT</w:t>
      </w:r>
    </w:p>
    <w:p w:rsidR="00A059F3" w:rsidRDefault="00A059F3">
      <w:pPr>
        <w:jc w:val="center"/>
        <w:rPr>
          <w:rFonts w:cs="Courier"/>
          <w:lang w:val="de-DE"/>
        </w:rPr>
      </w:pPr>
    </w:p>
    <w:p w:rsidR="00A059F3" w:rsidRDefault="00A059F3">
      <w:pPr>
        <w:jc w:val="center"/>
        <w:rPr>
          <w:rFonts w:cs="Courier"/>
          <w:lang w:val="de-DE"/>
        </w:rPr>
      </w:pPr>
      <w:r>
        <w:rPr>
          <w:rFonts w:cs="Courier"/>
          <w:lang w:val="de-DE"/>
        </w:rPr>
        <w:t>Von Königs wegen:</w:t>
      </w:r>
    </w:p>
    <w:p w:rsidR="00A059F3" w:rsidRDefault="00A059F3">
      <w:pPr>
        <w:jc w:val="center"/>
        <w:rPr>
          <w:rFonts w:cs="Courier"/>
          <w:lang w:val="de-DE"/>
        </w:rPr>
      </w:pPr>
    </w:p>
    <w:p w:rsidR="00A059F3" w:rsidRDefault="00A059F3">
      <w:pPr>
        <w:jc w:val="center"/>
        <w:rPr>
          <w:rFonts w:cs="Courier"/>
          <w:lang w:val="de-DE"/>
        </w:rPr>
      </w:pPr>
      <w:r>
        <w:rPr>
          <w:rFonts w:cs="Courier"/>
          <w:lang w:val="de-DE"/>
        </w:rPr>
        <w:t>Der Minister der Justiz und der Wirtschaftsangelegenheiten</w:t>
      </w:r>
    </w:p>
    <w:p w:rsidR="00A059F3" w:rsidRDefault="00A059F3">
      <w:pPr>
        <w:jc w:val="center"/>
        <w:rPr>
          <w:rFonts w:cs="Courier"/>
          <w:lang w:val="de-DE"/>
        </w:rPr>
      </w:pPr>
      <w:r>
        <w:rPr>
          <w:rFonts w:cs="Courier"/>
          <w:lang w:val="de-DE"/>
        </w:rPr>
        <w:t>M. WATHELET</w:t>
      </w:r>
    </w:p>
    <w:p w:rsidR="00A059F3" w:rsidRDefault="00A059F3">
      <w:pPr>
        <w:jc w:val="center"/>
        <w:rPr>
          <w:rFonts w:cs="Courier"/>
          <w:lang w:val="de-DE"/>
        </w:rPr>
      </w:pPr>
    </w:p>
    <w:p w:rsidR="00A059F3" w:rsidRDefault="00A059F3">
      <w:pPr>
        <w:jc w:val="center"/>
        <w:rPr>
          <w:rFonts w:cs="Courier"/>
          <w:lang w:val="de-DE"/>
        </w:rPr>
      </w:pPr>
    </w:p>
    <w:p w:rsidR="00A059F3" w:rsidRDefault="00A059F3">
      <w:pPr>
        <w:jc w:val="center"/>
        <w:rPr>
          <w:rFonts w:cs="Courier"/>
          <w:lang w:val="de-DE"/>
        </w:rPr>
      </w:pPr>
      <w:r>
        <w:rPr>
          <w:rFonts w:cs="Courier"/>
          <w:lang w:val="de-DE"/>
        </w:rPr>
        <w:t>Der Minister der Kleinen und Mittleren Betriebe und der Landwirtschaft</w:t>
      </w:r>
    </w:p>
    <w:p w:rsidR="00A059F3" w:rsidRDefault="00A059F3">
      <w:pPr>
        <w:jc w:val="center"/>
        <w:rPr>
          <w:rFonts w:cs="Courier"/>
          <w:lang w:val="de-DE"/>
        </w:rPr>
      </w:pPr>
      <w:r>
        <w:rPr>
          <w:rFonts w:cs="Courier"/>
          <w:lang w:val="de-DE"/>
        </w:rPr>
        <w:t>A. BOURGEOIS</w:t>
      </w:r>
    </w:p>
    <w:p w:rsidR="00A059F3" w:rsidRDefault="00A059F3">
      <w:pPr>
        <w:jc w:val="center"/>
        <w:rPr>
          <w:rFonts w:cs="Courier"/>
          <w:lang w:val="de-DE"/>
        </w:rPr>
      </w:pPr>
    </w:p>
    <w:p w:rsidR="00A059F3" w:rsidRDefault="00A059F3">
      <w:pPr>
        <w:jc w:val="center"/>
        <w:rPr>
          <w:rFonts w:cs="Courier"/>
          <w:lang w:val="de-DE"/>
        </w:rPr>
      </w:pPr>
    </w:p>
    <w:p w:rsidR="00A059F3" w:rsidRDefault="00A059F3">
      <w:pPr>
        <w:jc w:val="center"/>
        <w:rPr>
          <w:rFonts w:cs="Courier"/>
          <w:lang w:val="de-DE"/>
        </w:rPr>
      </w:pPr>
      <w:r>
        <w:rPr>
          <w:rFonts w:cs="Courier"/>
          <w:lang w:val="de-DE"/>
        </w:rPr>
        <w:t>Mit dem Staatssiegel versehen:</w:t>
      </w:r>
    </w:p>
    <w:p w:rsidR="00A059F3" w:rsidRDefault="00A059F3">
      <w:pPr>
        <w:jc w:val="center"/>
        <w:rPr>
          <w:rFonts w:cs="Courier"/>
          <w:lang w:val="de-DE"/>
        </w:rPr>
      </w:pPr>
    </w:p>
    <w:p w:rsidR="00A059F3" w:rsidRDefault="00A059F3">
      <w:pPr>
        <w:jc w:val="center"/>
        <w:rPr>
          <w:rFonts w:cs="Courier"/>
          <w:lang w:val="de-DE"/>
        </w:rPr>
      </w:pPr>
      <w:r>
        <w:rPr>
          <w:rFonts w:cs="Courier"/>
          <w:lang w:val="de-DE"/>
        </w:rPr>
        <w:t>Der Minister der Justiz</w:t>
      </w:r>
    </w:p>
    <w:p w:rsidR="00A059F3" w:rsidRDefault="00A059F3">
      <w:pPr>
        <w:jc w:val="center"/>
        <w:rPr>
          <w:rFonts w:cs="Courier"/>
        </w:rPr>
      </w:pPr>
      <w:r>
        <w:rPr>
          <w:rFonts w:cs="Courier"/>
          <w:lang w:val="de-DE"/>
        </w:rPr>
        <w:t>M.WATHELET</w:t>
      </w:r>
    </w:p>
    <w:p w:rsidR="00A059F3" w:rsidRDefault="00A059F3"/>
    <w:p w:rsidR="00233F36" w:rsidRPr="00C80000" w:rsidRDefault="00233F36" w:rsidP="00A059F3">
      <w:pPr>
        <w:jc w:val="both"/>
        <w:rPr>
          <w:lang w:val="de-DE"/>
        </w:rPr>
      </w:pPr>
    </w:p>
    <w:sectPr w:rsidR="00233F36" w:rsidRPr="00C80000" w:rsidSect="00BB002B">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059F3"/>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3067</Characters>
  <Application>Microsoft Office Word</Application>
  <DocSecurity>4</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2013-04-25T14:13:00Z</dcterms:created>
  <dcterms:modified xsi:type="dcterms:W3CDTF">2013-04-25T14:13:00Z</dcterms:modified>
</cp:coreProperties>
</file>