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A583" w14:textId="77777777" w:rsidR="00537624" w:rsidRPr="00537624" w:rsidRDefault="00537624" w:rsidP="00537624">
      <w:pPr>
        <w:jc w:val="both"/>
        <w:rPr>
          <w:b/>
          <w:lang w:val="de-DE"/>
        </w:rPr>
      </w:pPr>
      <w:r w:rsidRPr="00537624">
        <w:rPr>
          <w:b/>
          <w:lang w:val="de-DE"/>
        </w:rPr>
        <w:t>9. DEZEMBER 2021 - Königlicher Erlass zur Abänderung des Königlichen Erlasses vom 13. April 2019 über die Bezeichnung und die Eigenschaften von alternativen Kraftstoffen</w:t>
      </w:r>
    </w:p>
    <w:p w14:paraId="08053969" w14:textId="77777777" w:rsidR="00233F36" w:rsidRPr="00C80000" w:rsidRDefault="00233F36" w:rsidP="00127CA8">
      <w:pPr>
        <w:jc w:val="both"/>
        <w:rPr>
          <w:lang w:val="de-DE"/>
        </w:rPr>
      </w:pPr>
    </w:p>
    <w:p w14:paraId="4B7828AB" w14:textId="77777777" w:rsidR="00233F36" w:rsidRPr="00C80000" w:rsidRDefault="00233F36">
      <w:pPr>
        <w:rPr>
          <w:lang w:val="de-DE"/>
        </w:rPr>
      </w:pPr>
    </w:p>
    <w:p w14:paraId="5BBCF273" w14:textId="532A2B9A"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537624">
        <w:rPr>
          <w:lang w:val="de-DE"/>
        </w:rPr>
        <w:t>14. April 2023</w:t>
      </w:r>
      <w:r w:rsidRPr="00C80000">
        <w:rPr>
          <w:lang w:val="de-DE"/>
        </w:rPr>
        <w:t>)</w:t>
      </w:r>
    </w:p>
    <w:p w14:paraId="7AAE06CE" w14:textId="77777777" w:rsidR="00233F36" w:rsidRPr="00127CA8" w:rsidRDefault="00233F36" w:rsidP="000F5F44">
      <w:pPr>
        <w:jc w:val="center"/>
        <w:rPr>
          <w:lang w:val="de-DE"/>
        </w:rPr>
      </w:pPr>
    </w:p>
    <w:p w14:paraId="014815A9" w14:textId="77777777" w:rsidR="00233F36" w:rsidRPr="00C80000" w:rsidRDefault="00233F36" w:rsidP="00CA081B">
      <w:pPr>
        <w:jc w:val="center"/>
        <w:rPr>
          <w:lang w:val="de-DE"/>
        </w:rPr>
      </w:pPr>
    </w:p>
    <w:p w14:paraId="45739B95"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7F247CE4" w14:textId="77777777" w:rsidR="00E1687C" w:rsidRDefault="00E1687C" w:rsidP="00CA081B">
      <w:pPr>
        <w:jc w:val="both"/>
        <w:rPr>
          <w:lang w:val="de-DE"/>
        </w:rPr>
      </w:pPr>
    </w:p>
    <w:p w14:paraId="35D8335C" w14:textId="77777777" w:rsidR="00E1687C" w:rsidRPr="00C80000" w:rsidRDefault="00E1687C" w:rsidP="00CA081B">
      <w:pPr>
        <w:jc w:val="both"/>
        <w:rPr>
          <w:lang w:val="de-DE"/>
        </w:rPr>
      </w:pPr>
    </w:p>
    <w:p w14:paraId="42372611"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24F274F6" w14:textId="77777777" w:rsidR="00537624" w:rsidRPr="00537624" w:rsidRDefault="00537624" w:rsidP="001A5555">
      <w:pPr>
        <w:jc w:val="center"/>
        <w:rPr>
          <w:lang w:val="de-DE"/>
        </w:rPr>
      </w:pPr>
      <w:r w:rsidRPr="00537624">
        <w:rPr>
          <w:b/>
          <w:lang w:val="de-DE"/>
        </w:rPr>
        <w:lastRenderedPageBreak/>
        <w:t>FÖDERALER ÖFFENTLICHER DIENST WIRTSCHAFT, KMB, MITTELSTAND UND ENERGIE</w:t>
      </w:r>
    </w:p>
    <w:p w14:paraId="047DCD6C" w14:textId="77777777" w:rsidR="00537624" w:rsidRPr="00537624" w:rsidRDefault="00537624" w:rsidP="001A5555">
      <w:pPr>
        <w:rPr>
          <w:lang w:val="de-DE"/>
        </w:rPr>
      </w:pPr>
    </w:p>
    <w:p w14:paraId="693E69B8" w14:textId="77777777" w:rsidR="00537624" w:rsidRPr="00537624" w:rsidRDefault="00537624" w:rsidP="001A5555">
      <w:pPr>
        <w:rPr>
          <w:lang w:val="de-DE"/>
        </w:rPr>
      </w:pPr>
    </w:p>
    <w:p w14:paraId="1A6AAE9C" w14:textId="77777777" w:rsidR="00537624" w:rsidRPr="00537624" w:rsidRDefault="00537624" w:rsidP="008F198A">
      <w:pPr>
        <w:jc w:val="both"/>
        <w:rPr>
          <w:b/>
          <w:lang w:val="de-DE"/>
        </w:rPr>
      </w:pPr>
      <w:r w:rsidRPr="00537624">
        <w:rPr>
          <w:b/>
          <w:lang w:val="de-DE"/>
        </w:rPr>
        <w:t>9. DEZEMBER 2021 - Königlicher Erlass zur Abänderung des Königlichen Erlasses vom 13. April 2019 über die Bezeichnung und die Eigenschaften von alternativen Kraftstoffen</w:t>
      </w:r>
    </w:p>
    <w:p w14:paraId="09B94654" w14:textId="77777777" w:rsidR="00537624" w:rsidRPr="00537624" w:rsidRDefault="00537624" w:rsidP="001A5555">
      <w:pPr>
        <w:rPr>
          <w:lang w:val="de-DE"/>
        </w:rPr>
      </w:pPr>
    </w:p>
    <w:p w14:paraId="23CBCC13" w14:textId="77777777" w:rsidR="00537624" w:rsidRPr="00537624" w:rsidRDefault="00537624" w:rsidP="001A5555">
      <w:pPr>
        <w:rPr>
          <w:lang w:val="de-DE"/>
        </w:rPr>
      </w:pPr>
    </w:p>
    <w:p w14:paraId="5C60BA49" w14:textId="77777777" w:rsidR="00537624" w:rsidRPr="00537624" w:rsidRDefault="00537624" w:rsidP="001A5555">
      <w:pPr>
        <w:rPr>
          <w:lang w:val="de-DE"/>
        </w:rPr>
      </w:pPr>
      <w:r w:rsidRPr="00537624">
        <w:rPr>
          <w:lang w:val="de-DE"/>
        </w:rPr>
        <w:tab/>
      </w:r>
      <w:r w:rsidRPr="00537624">
        <w:rPr>
          <w:lang w:val="de-DE"/>
        </w:rPr>
        <w:tab/>
      </w:r>
      <w:r w:rsidRPr="00537624">
        <w:rPr>
          <w:lang w:val="de-DE"/>
        </w:rPr>
        <w:tab/>
        <w:t>PHILIPPE, König der Belgier,</w:t>
      </w:r>
    </w:p>
    <w:p w14:paraId="05D76401" w14:textId="77777777" w:rsidR="00537624" w:rsidRPr="00537624" w:rsidRDefault="00537624" w:rsidP="001A5555">
      <w:pPr>
        <w:rPr>
          <w:lang w:val="de-DE"/>
        </w:rPr>
      </w:pPr>
    </w:p>
    <w:p w14:paraId="332439E7" w14:textId="77777777" w:rsidR="00537624" w:rsidRPr="00537624" w:rsidRDefault="00537624" w:rsidP="001A5555">
      <w:pPr>
        <w:rPr>
          <w:lang w:val="de-DE"/>
        </w:rPr>
      </w:pPr>
      <w:r w:rsidRPr="00537624">
        <w:rPr>
          <w:lang w:val="de-DE"/>
        </w:rPr>
        <w:tab/>
      </w:r>
      <w:r w:rsidRPr="00537624">
        <w:rPr>
          <w:lang w:val="de-DE"/>
        </w:rPr>
        <w:tab/>
        <w:t>Allen Gegenwärtigen und Zukünftigen, Unser Gruß!</w:t>
      </w:r>
    </w:p>
    <w:p w14:paraId="0FCE2DF6" w14:textId="77777777" w:rsidR="00537624" w:rsidRPr="00537624" w:rsidRDefault="00537624" w:rsidP="001A5555">
      <w:pPr>
        <w:rPr>
          <w:lang w:val="de-DE"/>
        </w:rPr>
      </w:pPr>
    </w:p>
    <w:p w14:paraId="73C5DE14" w14:textId="77777777" w:rsidR="00537624" w:rsidRPr="00537624" w:rsidRDefault="00537624" w:rsidP="001A5555">
      <w:pPr>
        <w:rPr>
          <w:lang w:val="de-DE"/>
        </w:rPr>
      </w:pPr>
    </w:p>
    <w:p w14:paraId="08E58973" w14:textId="77777777" w:rsidR="00537624" w:rsidRPr="00537624" w:rsidRDefault="00537624" w:rsidP="001A5555">
      <w:pPr>
        <w:jc w:val="both"/>
        <w:rPr>
          <w:lang w:val="de-DE"/>
        </w:rPr>
      </w:pPr>
      <w:r w:rsidRPr="00537624">
        <w:rPr>
          <w:lang w:val="de-DE"/>
        </w:rPr>
        <w:tab/>
        <w:t>Aufgrund der Durchführungsverordnung (EU) 2018/732 der Kommission vom 17. Mai 2018 über eine gemeinsame Methode für den auf eine Maßeinheit bezogenen Preisvergleich für alternative Kraftstoffe gemäß der Richtlinie 2014/94/EU des Europäischen Parlaments und des Rates;</w:t>
      </w:r>
    </w:p>
    <w:p w14:paraId="68D6AEB5" w14:textId="77777777" w:rsidR="00537624" w:rsidRPr="00537624" w:rsidRDefault="00537624" w:rsidP="001A5555">
      <w:pPr>
        <w:jc w:val="both"/>
        <w:rPr>
          <w:lang w:val="de-DE"/>
        </w:rPr>
      </w:pPr>
    </w:p>
    <w:p w14:paraId="0EF93CDC" w14:textId="77777777" w:rsidR="00537624" w:rsidRPr="00537624" w:rsidRDefault="00537624" w:rsidP="001A5555">
      <w:pPr>
        <w:jc w:val="both"/>
        <w:rPr>
          <w:lang w:val="de-DE"/>
        </w:rPr>
      </w:pPr>
      <w:r w:rsidRPr="00537624">
        <w:rPr>
          <w:lang w:val="de-DE"/>
        </w:rPr>
        <w:tab/>
        <w:t>Aufgrund des Wirtschaftsgesetzbuches, des Artikels VI.9 § 1 Nr. 1;</w:t>
      </w:r>
    </w:p>
    <w:p w14:paraId="0AA07501" w14:textId="77777777" w:rsidR="00537624" w:rsidRPr="00537624" w:rsidRDefault="00537624" w:rsidP="001A5555">
      <w:pPr>
        <w:jc w:val="both"/>
        <w:rPr>
          <w:lang w:val="de-DE"/>
        </w:rPr>
      </w:pPr>
    </w:p>
    <w:p w14:paraId="48B559DD" w14:textId="77777777" w:rsidR="00537624" w:rsidRPr="00537624" w:rsidRDefault="00537624" w:rsidP="001A5555">
      <w:pPr>
        <w:jc w:val="both"/>
        <w:rPr>
          <w:lang w:val="de-DE"/>
        </w:rPr>
      </w:pPr>
      <w:r w:rsidRPr="00537624">
        <w:rPr>
          <w:lang w:val="de-DE"/>
        </w:rPr>
        <w:tab/>
        <w:t>Aufgrund des Königlichen Erlasses vom 13. April 2019 über die Bezeichnung und die Eigenschaften von alternativen Kraftstoffen;</w:t>
      </w:r>
    </w:p>
    <w:p w14:paraId="70455D75" w14:textId="77777777" w:rsidR="00537624" w:rsidRPr="00537624" w:rsidRDefault="00537624" w:rsidP="001A5555">
      <w:pPr>
        <w:jc w:val="both"/>
        <w:rPr>
          <w:lang w:val="de-DE"/>
        </w:rPr>
      </w:pPr>
    </w:p>
    <w:p w14:paraId="301F3A1B" w14:textId="77777777" w:rsidR="00537624" w:rsidRPr="00537624" w:rsidRDefault="00537624" w:rsidP="001A5555">
      <w:pPr>
        <w:jc w:val="both"/>
        <w:rPr>
          <w:lang w:val="de-DE"/>
        </w:rPr>
      </w:pPr>
      <w:r w:rsidRPr="00537624">
        <w:rPr>
          <w:lang w:val="de-DE"/>
        </w:rPr>
        <w:tab/>
        <w:t>Aufgrund der Stellungnahme des Finanzinspektors vom 1. Dezember 2020;</w:t>
      </w:r>
    </w:p>
    <w:p w14:paraId="3904E72A" w14:textId="77777777" w:rsidR="00537624" w:rsidRPr="00537624" w:rsidRDefault="00537624" w:rsidP="001A5555">
      <w:pPr>
        <w:jc w:val="both"/>
        <w:rPr>
          <w:lang w:val="de-DE"/>
        </w:rPr>
      </w:pPr>
    </w:p>
    <w:p w14:paraId="0C25096F" w14:textId="77777777" w:rsidR="00537624" w:rsidRPr="00537624" w:rsidRDefault="00537624" w:rsidP="001A5555">
      <w:pPr>
        <w:jc w:val="both"/>
        <w:rPr>
          <w:lang w:val="de-DE"/>
        </w:rPr>
      </w:pPr>
      <w:r w:rsidRPr="00537624">
        <w:rPr>
          <w:lang w:val="de-DE"/>
        </w:rPr>
        <w:tab/>
        <w:t>Aufgrund der Stellungnahme des Besonderen Beratungsausschusses "Verbraucher</w:t>
      </w:r>
      <w:r w:rsidRPr="00537624">
        <w:rPr>
          <w:lang w:val="de-DE"/>
        </w:rPr>
        <w:softHyphen/>
        <w:t>schutz" vom 17. Mai 2021;</w:t>
      </w:r>
    </w:p>
    <w:p w14:paraId="03E78C45" w14:textId="77777777" w:rsidR="00537624" w:rsidRPr="00537624" w:rsidRDefault="00537624" w:rsidP="001A5555">
      <w:pPr>
        <w:jc w:val="both"/>
        <w:rPr>
          <w:lang w:val="de-DE"/>
        </w:rPr>
      </w:pPr>
    </w:p>
    <w:p w14:paraId="64FCD53B" w14:textId="77777777" w:rsidR="00537624" w:rsidRPr="00537624" w:rsidRDefault="00537624" w:rsidP="001A5555">
      <w:pPr>
        <w:jc w:val="both"/>
        <w:rPr>
          <w:lang w:val="de-DE"/>
        </w:rPr>
      </w:pPr>
      <w:r w:rsidRPr="00537624">
        <w:rPr>
          <w:lang w:val="de-DE"/>
        </w:rPr>
        <w:tab/>
        <w:t>Aufgrund des Gutachtens Nr. 69.755/1/V des Staatsrates vom 2. August 2021, abgegeben in Anwendung von Artikel 84 § 1 Absatz 1 Nr. 2 der am 12. Januar 1973 koordinierten Gesetze über den Staatsrat;</w:t>
      </w:r>
    </w:p>
    <w:p w14:paraId="528D320B" w14:textId="77777777" w:rsidR="00537624" w:rsidRPr="00537624" w:rsidRDefault="00537624" w:rsidP="001A5555">
      <w:pPr>
        <w:jc w:val="both"/>
        <w:rPr>
          <w:lang w:val="de-DE"/>
        </w:rPr>
      </w:pPr>
    </w:p>
    <w:p w14:paraId="0DC5A245" w14:textId="77777777" w:rsidR="00537624" w:rsidRPr="00537624" w:rsidRDefault="00537624" w:rsidP="001A5555">
      <w:pPr>
        <w:jc w:val="both"/>
        <w:rPr>
          <w:lang w:val="de-DE"/>
        </w:rPr>
      </w:pPr>
      <w:r w:rsidRPr="00537624">
        <w:rPr>
          <w:lang w:val="de-DE"/>
        </w:rPr>
        <w:tab/>
        <w:t xml:space="preserve">In Erwägung der Empfehlungen des Programme Support Action ""FPC4Consumers": </w:t>
      </w:r>
      <w:r w:rsidRPr="00537624">
        <w:rPr>
          <w:lang w:val="en-GB"/>
        </w:rPr>
        <w:t>Assisting Member States in the implementation of a common methodology for alternative fuels unit price comparison in accordance with Directive</w:t>
      </w:r>
      <w:r w:rsidRPr="00537624">
        <w:rPr>
          <w:lang w:val="de-DE"/>
        </w:rPr>
        <w:t> 2014/94/EU";</w:t>
      </w:r>
    </w:p>
    <w:p w14:paraId="71EEF579" w14:textId="77777777" w:rsidR="00537624" w:rsidRPr="00537624" w:rsidRDefault="00537624" w:rsidP="001A5555">
      <w:pPr>
        <w:jc w:val="both"/>
        <w:rPr>
          <w:lang w:val="de-DE"/>
        </w:rPr>
      </w:pPr>
    </w:p>
    <w:p w14:paraId="774C1CF0" w14:textId="77777777" w:rsidR="00537624" w:rsidRPr="00537624" w:rsidRDefault="00537624" w:rsidP="001A5555">
      <w:pPr>
        <w:jc w:val="both"/>
        <w:rPr>
          <w:lang w:val="de-DE"/>
        </w:rPr>
      </w:pPr>
      <w:r w:rsidRPr="00537624">
        <w:rPr>
          <w:lang w:val="de-DE"/>
        </w:rPr>
        <w:tab/>
        <w:t>Aufgrund des am 14. April 2021 beim Hohen Rat für Selbständige und KMB eingereichten Antrags auf Stellungnahme in Anwendung von Artikel VI.9 § 2 des Wirtschafts</w:t>
      </w:r>
      <w:r w:rsidRPr="00537624">
        <w:rPr>
          <w:lang w:val="de-DE"/>
        </w:rPr>
        <w:softHyphen/>
        <w:t>gesetzbuches;</w:t>
      </w:r>
    </w:p>
    <w:p w14:paraId="3DFF184D" w14:textId="77777777" w:rsidR="00537624" w:rsidRPr="00537624" w:rsidRDefault="00537624" w:rsidP="001A5555">
      <w:pPr>
        <w:jc w:val="both"/>
        <w:rPr>
          <w:lang w:val="de-DE"/>
        </w:rPr>
      </w:pPr>
    </w:p>
    <w:p w14:paraId="7E541836" w14:textId="77777777" w:rsidR="00537624" w:rsidRPr="00537624" w:rsidRDefault="00537624" w:rsidP="001A5555">
      <w:pPr>
        <w:jc w:val="both"/>
        <w:rPr>
          <w:lang w:val="de-DE"/>
        </w:rPr>
      </w:pPr>
      <w:r w:rsidRPr="00537624">
        <w:rPr>
          <w:lang w:val="de-DE"/>
        </w:rPr>
        <w:tab/>
        <w:t>In der Erwägung, dass der Hohe Rat für Selbständige und KMB am 3. Juni 2021 notifiziert hat, dass er keine Stellungnahme abgeben wird;</w:t>
      </w:r>
    </w:p>
    <w:p w14:paraId="7B31D270" w14:textId="77777777" w:rsidR="00537624" w:rsidRPr="00537624" w:rsidRDefault="00537624" w:rsidP="001A5555">
      <w:pPr>
        <w:jc w:val="both"/>
        <w:rPr>
          <w:lang w:val="de-DE"/>
        </w:rPr>
      </w:pPr>
    </w:p>
    <w:p w14:paraId="41631896" w14:textId="77777777" w:rsidR="00537624" w:rsidRPr="00537624" w:rsidRDefault="00537624" w:rsidP="001A5555">
      <w:pPr>
        <w:jc w:val="both"/>
        <w:rPr>
          <w:lang w:val="de-DE"/>
        </w:rPr>
      </w:pPr>
      <w:r w:rsidRPr="00537624">
        <w:rPr>
          <w:lang w:val="de-DE"/>
        </w:rPr>
        <w:tab/>
        <w:t>Auf Vorschlag des Ministers der Wirtschaft, des Ministers der Mobilität, der Ministerin der Energie und der Staatssekretärin für Verbraucherschutz</w:t>
      </w:r>
    </w:p>
    <w:p w14:paraId="11B2FCC0" w14:textId="77777777" w:rsidR="00537624" w:rsidRPr="00537624" w:rsidRDefault="00537624" w:rsidP="001A5555">
      <w:pPr>
        <w:jc w:val="both"/>
        <w:rPr>
          <w:lang w:val="de-DE"/>
        </w:rPr>
      </w:pPr>
    </w:p>
    <w:p w14:paraId="1A970574" w14:textId="77777777" w:rsidR="00537624" w:rsidRPr="00537624" w:rsidRDefault="00537624" w:rsidP="001A5555">
      <w:pPr>
        <w:jc w:val="both"/>
        <w:rPr>
          <w:lang w:val="de-DE"/>
        </w:rPr>
      </w:pPr>
    </w:p>
    <w:p w14:paraId="2EB8F35B" w14:textId="77777777" w:rsidR="00537624" w:rsidRPr="00537624" w:rsidRDefault="00537624" w:rsidP="001A5555">
      <w:pPr>
        <w:jc w:val="both"/>
        <w:rPr>
          <w:lang w:val="de-DE"/>
        </w:rPr>
      </w:pPr>
      <w:r w:rsidRPr="00537624">
        <w:rPr>
          <w:lang w:val="de-DE"/>
        </w:rPr>
        <w:tab/>
      </w:r>
      <w:r w:rsidRPr="00537624">
        <w:rPr>
          <w:lang w:val="de-DE"/>
        </w:rPr>
        <w:tab/>
        <w:t>Haben Wir beschlossen und erlassen Wir:</w:t>
      </w:r>
    </w:p>
    <w:p w14:paraId="085CB717" w14:textId="77777777" w:rsidR="00537624" w:rsidRPr="00537624" w:rsidRDefault="00537624" w:rsidP="001A5555">
      <w:pPr>
        <w:jc w:val="both"/>
        <w:rPr>
          <w:lang w:val="de-DE"/>
        </w:rPr>
      </w:pPr>
    </w:p>
    <w:p w14:paraId="67E89657" w14:textId="77777777" w:rsidR="00537624" w:rsidRPr="00537624" w:rsidRDefault="00537624" w:rsidP="001A5555">
      <w:pPr>
        <w:jc w:val="both"/>
        <w:rPr>
          <w:lang w:val="de-DE"/>
        </w:rPr>
      </w:pPr>
    </w:p>
    <w:p w14:paraId="60DC6F28" w14:textId="77777777" w:rsidR="00537624" w:rsidRPr="00537624" w:rsidRDefault="00537624" w:rsidP="001A5555">
      <w:pPr>
        <w:jc w:val="both"/>
        <w:rPr>
          <w:lang w:val="de-DE"/>
        </w:rPr>
      </w:pPr>
      <w:r w:rsidRPr="00537624">
        <w:rPr>
          <w:lang w:val="de-DE"/>
        </w:rPr>
        <w:lastRenderedPageBreak/>
        <w:tab/>
      </w:r>
      <w:r w:rsidRPr="00537624">
        <w:rPr>
          <w:b/>
          <w:lang w:val="de-DE"/>
        </w:rPr>
        <w:t>Artikel 1 </w:t>
      </w:r>
      <w:r w:rsidRPr="00537624">
        <w:rPr>
          <w:lang w:val="de-DE"/>
        </w:rPr>
        <w:t>- Vorliegender Erlass dient der Umsetzung von Artikel 7 Absatz 3 der Richtlinie 2014/94/EU des Europäischen Parlaments und des Rates vom 22. Oktober 2014 über den Aufbau der Infrastruktur für alternative Kraftstoffe.</w:t>
      </w:r>
    </w:p>
    <w:p w14:paraId="03A12C6C" w14:textId="77777777" w:rsidR="00537624" w:rsidRPr="00537624" w:rsidRDefault="00537624" w:rsidP="001A5555">
      <w:pPr>
        <w:jc w:val="both"/>
        <w:rPr>
          <w:lang w:val="de-DE"/>
        </w:rPr>
      </w:pPr>
    </w:p>
    <w:p w14:paraId="5931EB5F" w14:textId="77777777" w:rsidR="00537624" w:rsidRPr="00537624" w:rsidRDefault="00537624" w:rsidP="001A5555">
      <w:pPr>
        <w:jc w:val="both"/>
        <w:rPr>
          <w:lang w:val="de-DE"/>
        </w:rPr>
      </w:pPr>
    </w:p>
    <w:p w14:paraId="6B1F87EE" w14:textId="77777777" w:rsidR="00537624" w:rsidRPr="00537624" w:rsidRDefault="00537624" w:rsidP="001A5555">
      <w:pPr>
        <w:jc w:val="both"/>
        <w:rPr>
          <w:lang w:val="de-DE"/>
        </w:rPr>
      </w:pPr>
      <w:r w:rsidRPr="00537624">
        <w:rPr>
          <w:lang w:val="de-DE"/>
        </w:rPr>
        <w:tab/>
      </w:r>
      <w:r w:rsidRPr="00537624">
        <w:rPr>
          <w:b/>
          <w:bCs/>
          <w:lang w:val="de-DE"/>
        </w:rPr>
        <w:t>Art. 2 -</w:t>
      </w:r>
      <w:r w:rsidRPr="00537624">
        <w:rPr>
          <w:lang w:val="de-DE"/>
        </w:rPr>
        <w:t xml:space="preserve"> In Artikel 2 des Königlichen Erlasses vom 13. April 2019 über die Bezeichnung und die Eigenschaften von alternativen Kraftstoffen werden Nummern 5 und 6 mit folgendem Wortlaut eingefügt:</w:t>
      </w:r>
    </w:p>
    <w:p w14:paraId="33AEAF4C" w14:textId="77777777" w:rsidR="00537624" w:rsidRPr="00537624" w:rsidRDefault="00537624" w:rsidP="001A5555">
      <w:pPr>
        <w:jc w:val="both"/>
        <w:rPr>
          <w:lang w:val="de-DE"/>
        </w:rPr>
      </w:pPr>
    </w:p>
    <w:p w14:paraId="4F87B792" w14:textId="77777777" w:rsidR="00537624" w:rsidRPr="00537624" w:rsidRDefault="00537624" w:rsidP="001A5555">
      <w:pPr>
        <w:jc w:val="both"/>
        <w:rPr>
          <w:lang w:val="de-DE"/>
        </w:rPr>
      </w:pPr>
      <w:r w:rsidRPr="00537624">
        <w:rPr>
          <w:lang w:val="de-DE"/>
        </w:rPr>
        <w:tab/>
        <w:t>"5. Tankstation: eine private oder öffentliche Einrichtung zur Abgabe von Kraftstoffen aus ortsfesten Lagertanks an Kraftstofftanks von Kraftfahrzeugen. Von dieser Begriffs</w:t>
      </w:r>
      <w:r w:rsidRPr="00537624">
        <w:rPr>
          <w:lang w:val="de-DE"/>
        </w:rPr>
        <w:softHyphen/>
        <w:t>bestimmung sind Einrichtungen ausgeschlossen, die ausschließlich zur Versorgung von Kraftfahrzeugen dienen, die nur vom Betreiber dieser Einrichtungen benutzt werden. Von dieser Begriffsbestimmung sind zudem Ladepunkte für Elektrofahrzeuge ausgeschlossen.</w:t>
      </w:r>
    </w:p>
    <w:p w14:paraId="249A4863" w14:textId="77777777" w:rsidR="00537624" w:rsidRPr="00537624" w:rsidRDefault="00537624" w:rsidP="001A5555">
      <w:pPr>
        <w:jc w:val="both"/>
        <w:rPr>
          <w:lang w:val="de-DE"/>
        </w:rPr>
      </w:pPr>
    </w:p>
    <w:p w14:paraId="4DD7CA77" w14:textId="77777777" w:rsidR="00537624" w:rsidRPr="00537624" w:rsidRDefault="00537624" w:rsidP="001A5555">
      <w:pPr>
        <w:jc w:val="both"/>
        <w:rPr>
          <w:lang w:val="de-DE"/>
        </w:rPr>
      </w:pPr>
      <w:r w:rsidRPr="00537624">
        <w:rPr>
          <w:lang w:val="de-DE"/>
        </w:rPr>
        <w:tab/>
        <w:t>6. Massenleistungsdichte: Verhältnis zwischen der höchsten Nutzleistung (in kW) und der Masse in fahrbereitem Zustand (in Tonnen)."</w:t>
      </w:r>
    </w:p>
    <w:p w14:paraId="6A7F2287" w14:textId="77777777" w:rsidR="00537624" w:rsidRPr="00537624" w:rsidRDefault="00537624" w:rsidP="001A5555">
      <w:pPr>
        <w:jc w:val="both"/>
        <w:rPr>
          <w:lang w:val="de-DE"/>
        </w:rPr>
      </w:pPr>
    </w:p>
    <w:p w14:paraId="2A5C7314" w14:textId="77777777" w:rsidR="00537624" w:rsidRPr="00537624" w:rsidRDefault="00537624" w:rsidP="001A5555">
      <w:pPr>
        <w:jc w:val="both"/>
        <w:rPr>
          <w:lang w:val="de-DE"/>
        </w:rPr>
      </w:pPr>
    </w:p>
    <w:p w14:paraId="37B79E88" w14:textId="77777777" w:rsidR="00537624" w:rsidRPr="00537624" w:rsidRDefault="00537624" w:rsidP="001A5555">
      <w:pPr>
        <w:jc w:val="both"/>
        <w:rPr>
          <w:lang w:val="de-DE"/>
        </w:rPr>
      </w:pPr>
      <w:r w:rsidRPr="00537624">
        <w:rPr>
          <w:lang w:val="de-DE"/>
        </w:rPr>
        <w:tab/>
      </w:r>
      <w:r w:rsidRPr="00537624">
        <w:rPr>
          <w:b/>
          <w:bCs/>
          <w:lang w:val="de-DE"/>
        </w:rPr>
        <w:t>Art. 3 -</w:t>
      </w:r>
      <w:r w:rsidRPr="00537624">
        <w:rPr>
          <w:lang w:val="de-DE"/>
        </w:rPr>
        <w:t xml:space="preserve"> In denselben Erlass wird ein Artikel 8/1 mit folgendem Wortlaut eingefügt:</w:t>
      </w:r>
    </w:p>
    <w:p w14:paraId="1A49A033" w14:textId="77777777" w:rsidR="00537624" w:rsidRPr="00537624" w:rsidRDefault="00537624" w:rsidP="001A5555">
      <w:pPr>
        <w:jc w:val="both"/>
        <w:rPr>
          <w:lang w:val="de-DE"/>
        </w:rPr>
      </w:pPr>
    </w:p>
    <w:p w14:paraId="1593815F" w14:textId="77777777" w:rsidR="00537624" w:rsidRPr="00537624" w:rsidRDefault="00537624" w:rsidP="001A5555">
      <w:pPr>
        <w:jc w:val="both"/>
        <w:rPr>
          <w:lang w:val="de-DE"/>
        </w:rPr>
      </w:pPr>
      <w:r w:rsidRPr="00537624">
        <w:rPr>
          <w:lang w:val="de-DE"/>
        </w:rPr>
        <w:tab/>
        <w:t>"Art. 8/1 - § 1 ­ Gemäß der Durchführungsverordnung (EU) 2018/732 der Kommission vom 17. Mai 2018 über eine gemeinsame Methode für den auf eine Maßeinheit bezogenen Preisvergleich für alternative Kraftstoffe gemäß der Richtlinie 2014/94/EU des Europäischen Parlaments und des Rates wird an jeder Tankstation, an der mindestens drei der folgenden Kraftstoffe zum Verkauf angeboten werden: Diesel, Benzin, Wasserstoff, Elektrizität, CNG, LPG, ab dem 1. Tag des Quartals nach der Veröffentlichung des vorliegenden Erlasses und spätestens am 1. Tag jedes Quartals, das heißt am 1. Januar, 1. April, 1. Juli und 1. Oktober jedes Jahres, an mindestens einer gut sichtbaren Stelle in der Nähe der Kraftstoffpumpen und im Geschäft der Tankstation eine spezifische, vierteljährlich aktualisierte Unterlage angezeigt, durch die der Verbraucher über den Durchschnittspreis der betreffenden Kraftstoffe pro 100 Kilometer für einen Durchschnitt der drei meistverkauften Modelle der in Belgien im vorhergehenden Jahr meistverkauften Fahrzeugklasse informiert werden soll. Die Anzeige dieser Informationen darf den Verbraucher nicht irreführen oder verwirren.</w:t>
      </w:r>
    </w:p>
    <w:p w14:paraId="56D6DFDE" w14:textId="77777777" w:rsidR="00537624" w:rsidRPr="00537624" w:rsidRDefault="00537624" w:rsidP="001A5555">
      <w:pPr>
        <w:jc w:val="both"/>
        <w:rPr>
          <w:lang w:val="de-DE"/>
        </w:rPr>
      </w:pPr>
    </w:p>
    <w:p w14:paraId="0C5736FF" w14:textId="77777777" w:rsidR="00537624" w:rsidRPr="00537624" w:rsidRDefault="00537624" w:rsidP="001A5555">
      <w:pPr>
        <w:jc w:val="both"/>
        <w:rPr>
          <w:lang w:val="de-DE"/>
        </w:rPr>
      </w:pPr>
      <w:r w:rsidRPr="00537624">
        <w:rPr>
          <w:lang w:val="de-DE"/>
        </w:rPr>
        <w:tab/>
        <w:t>§ 2 - Die in § 1 erwähnten Fahrzeugklassen werden wie folgt bestimmt:</w:t>
      </w:r>
    </w:p>
    <w:p w14:paraId="08E584F8" w14:textId="77777777" w:rsidR="00537624" w:rsidRPr="00537624" w:rsidRDefault="00537624" w:rsidP="001A5555">
      <w:pPr>
        <w:jc w:val="both"/>
        <w:rPr>
          <w:lang w:val="de-DE"/>
        </w:rPr>
      </w:pPr>
    </w:p>
    <w:p w14:paraId="682AD7A3" w14:textId="77777777" w:rsidR="00537624" w:rsidRPr="00537624" w:rsidRDefault="00537624" w:rsidP="001A5555">
      <w:pPr>
        <w:jc w:val="both"/>
        <w:rPr>
          <w:lang w:val="de-DE"/>
        </w:rPr>
      </w:pPr>
      <w:r w:rsidRPr="00537624">
        <w:rPr>
          <w:lang w:val="de-DE"/>
        </w:rPr>
        <w:tab/>
        <w:t>1. Klasse A: Fahrzeuge mit einer Massenleistungsdichte von weniger als 60 kW/t und einer Masse in fahrbereitem Zustand von weniger als 1,3 t,</w:t>
      </w:r>
    </w:p>
    <w:p w14:paraId="4E9F753C" w14:textId="77777777" w:rsidR="00537624" w:rsidRPr="00537624" w:rsidRDefault="00537624" w:rsidP="001A5555">
      <w:pPr>
        <w:jc w:val="both"/>
        <w:rPr>
          <w:lang w:val="de-DE"/>
        </w:rPr>
      </w:pPr>
    </w:p>
    <w:p w14:paraId="566163A6" w14:textId="77777777" w:rsidR="00537624" w:rsidRPr="00537624" w:rsidRDefault="00537624" w:rsidP="001A5555">
      <w:pPr>
        <w:jc w:val="both"/>
        <w:rPr>
          <w:lang w:val="de-DE"/>
        </w:rPr>
      </w:pPr>
      <w:r w:rsidRPr="00537624">
        <w:rPr>
          <w:lang w:val="de-DE"/>
        </w:rPr>
        <w:tab/>
        <w:t>2. Klasse B: Fahrzeuge mit einer Massenleistungsdichte zwischen 60 und 75 kW/t und einer Masse in fahrbereitem Zustand von weniger als 1,3 t,</w:t>
      </w:r>
    </w:p>
    <w:p w14:paraId="7138C3E0" w14:textId="77777777" w:rsidR="00537624" w:rsidRPr="00537624" w:rsidRDefault="00537624" w:rsidP="001A5555">
      <w:pPr>
        <w:jc w:val="both"/>
        <w:rPr>
          <w:lang w:val="de-DE"/>
        </w:rPr>
      </w:pPr>
    </w:p>
    <w:p w14:paraId="29BF49C9" w14:textId="77777777" w:rsidR="00537624" w:rsidRPr="00537624" w:rsidRDefault="00537624" w:rsidP="001A5555">
      <w:pPr>
        <w:jc w:val="both"/>
        <w:rPr>
          <w:lang w:val="de-DE"/>
        </w:rPr>
      </w:pPr>
      <w:r w:rsidRPr="00537624">
        <w:rPr>
          <w:lang w:val="de-DE"/>
        </w:rPr>
        <w:tab/>
        <w:t>3. Klasse C: Fahrzeuge mit einer Massenleistungsdichte von mehr als 75 kW/t und einer Masse in fahrbereitem Zustand von weniger als 1,3 t,</w:t>
      </w:r>
    </w:p>
    <w:p w14:paraId="2A7E5C98" w14:textId="77777777" w:rsidR="00537624" w:rsidRPr="00537624" w:rsidRDefault="00537624" w:rsidP="001A5555">
      <w:pPr>
        <w:jc w:val="both"/>
        <w:rPr>
          <w:lang w:val="de-DE"/>
        </w:rPr>
      </w:pPr>
    </w:p>
    <w:p w14:paraId="4CB2EC04" w14:textId="77777777" w:rsidR="00537624" w:rsidRPr="00537624" w:rsidRDefault="00537624" w:rsidP="001A5555">
      <w:pPr>
        <w:jc w:val="both"/>
        <w:rPr>
          <w:lang w:val="de-DE"/>
        </w:rPr>
      </w:pPr>
      <w:r w:rsidRPr="00537624">
        <w:rPr>
          <w:lang w:val="de-DE"/>
        </w:rPr>
        <w:tab/>
        <w:t>4. Klasse D: Fahrzeuge mit einer Massenleistungsdichte von weniger als 60 kW/t und einer Masse in fahrbereitem Zustand zwischen 1,3 und 1,6 t,</w:t>
      </w:r>
    </w:p>
    <w:p w14:paraId="07152328" w14:textId="77777777" w:rsidR="00537624" w:rsidRPr="00537624" w:rsidRDefault="00537624" w:rsidP="001A5555">
      <w:pPr>
        <w:jc w:val="both"/>
        <w:rPr>
          <w:lang w:val="de-DE"/>
        </w:rPr>
      </w:pPr>
    </w:p>
    <w:p w14:paraId="50F276DE" w14:textId="77777777" w:rsidR="00537624" w:rsidRPr="00537624" w:rsidRDefault="00537624" w:rsidP="001A5555">
      <w:pPr>
        <w:jc w:val="both"/>
        <w:rPr>
          <w:lang w:val="de-DE"/>
        </w:rPr>
      </w:pPr>
      <w:r w:rsidRPr="00537624">
        <w:rPr>
          <w:lang w:val="de-DE"/>
        </w:rPr>
        <w:tab/>
        <w:t>5. Klasse E: Fahrzeuge mit einer Massenleistungsdichte zwischen 60 und 75 kW/t und einer Masse in fahrbereitem Zustand zwischen 1,3 und 1,6 t,</w:t>
      </w:r>
    </w:p>
    <w:p w14:paraId="00C70B7A" w14:textId="77777777" w:rsidR="00537624" w:rsidRPr="00537624" w:rsidRDefault="00537624" w:rsidP="001A5555">
      <w:pPr>
        <w:jc w:val="both"/>
        <w:rPr>
          <w:lang w:val="de-DE"/>
        </w:rPr>
      </w:pPr>
    </w:p>
    <w:p w14:paraId="6F0FFF37" w14:textId="77777777" w:rsidR="00537624" w:rsidRPr="00537624" w:rsidRDefault="00537624" w:rsidP="001A5555">
      <w:pPr>
        <w:jc w:val="both"/>
        <w:rPr>
          <w:lang w:val="de-DE"/>
        </w:rPr>
      </w:pPr>
      <w:r w:rsidRPr="00537624">
        <w:rPr>
          <w:lang w:val="de-DE"/>
        </w:rPr>
        <w:tab/>
        <w:t>6. Klasse F: Fahrzeuge mit einer Massenleistungsdichte von mehr als 75 kW/t und einer Masse in fahrbereitem Zustand zwischen 1,3 und 1,6 t,</w:t>
      </w:r>
    </w:p>
    <w:p w14:paraId="53BECE27" w14:textId="77777777" w:rsidR="00537624" w:rsidRPr="00537624" w:rsidRDefault="00537624" w:rsidP="001A5555">
      <w:pPr>
        <w:jc w:val="both"/>
        <w:rPr>
          <w:lang w:val="de-DE"/>
        </w:rPr>
      </w:pPr>
    </w:p>
    <w:p w14:paraId="59F78635" w14:textId="77777777" w:rsidR="00537624" w:rsidRPr="00537624" w:rsidRDefault="00537624" w:rsidP="001A5555">
      <w:pPr>
        <w:jc w:val="both"/>
        <w:rPr>
          <w:lang w:val="de-DE"/>
        </w:rPr>
      </w:pPr>
      <w:r w:rsidRPr="00537624">
        <w:rPr>
          <w:lang w:val="de-DE"/>
        </w:rPr>
        <w:tab/>
        <w:t>7. Klasse G: Fahrzeuge mit einer Massenleistungsdichte von weniger als 60 kW/t und einer Masse in fahrbereitem Zustand von mehr als 1,6 t,</w:t>
      </w:r>
    </w:p>
    <w:p w14:paraId="07E48982" w14:textId="77777777" w:rsidR="00537624" w:rsidRPr="00537624" w:rsidRDefault="00537624" w:rsidP="001A5555">
      <w:pPr>
        <w:jc w:val="both"/>
        <w:rPr>
          <w:lang w:val="de-DE"/>
        </w:rPr>
      </w:pPr>
    </w:p>
    <w:p w14:paraId="657BE311" w14:textId="77777777" w:rsidR="00537624" w:rsidRPr="00537624" w:rsidRDefault="00537624" w:rsidP="001A5555">
      <w:pPr>
        <w:jc w:val="both"/>
        <w:rPr>
          <w:lang w:val="de-DE"/>
        </w:rPr>
      </w:pPr>
      <w:r w:rsidRPr="00537624">
        <w:rPr>
          <w:lang w:val="de-DE"/>
        </w:rPr>
        <w:tab/>
        <w:t>8. Klasse H: Fahrzeuge mit einer Massenleistungsdichte zwischen 60 und 75 kW/t und einer Masse in fahrbereitem Zustand von mehr als 1,6 t,</w:t>
      </w:r>
    </w:p>
    <w:p w14:paraId="5CC2EEC5" w14:textId="77777777" w:rsidR="00537624" w:rsidRPr="00537624" w:rsidRDefault="00537624" w:rsidP="001A5555">
      <w:pPr>
        <w:jc w:val="both"/>
        <w:rPr>
          <w:lang w:val="de-DE"/>
        </w:rPr>
      </w:pPr>
    </w:p>
    <w:p w14:paraId="3D4EF57A" w14:textId="77777777" w:rsidR="00537624" w:rsidRPr="00537624" w:rsidRDefault="00537624" w:rsidP="001A5555">
      <w:pPr>
        <w:jc w:val="both"/>
        <w:rPr>
          <w:lang w:val="de-DE"/>
        </w:rPr>
      </w:pPr>
      <w:r w:rsidRPr="00537624">
        <w:rPr>
          <w:lang w:val="de-DE"/>
        </w:rPr>
        <w:tab/>
        <w:t>9. Klasse I: Fahrzeuge mit einer Massenleistungsdichte von mehr als 75 kW/t und einer Masse in fahrbereitem Zustand von mehr als 1,6 t.</w:t>
      </w:r>
    </w:p>
    <w:p w14:paraId="192C111B" w14:textId="77777777" w:rsidR="00537624" w:rsidRPr="00537624" w:rsidRDefault="00537624" w:rsidP="001A5555">
      <w:pPr>
        <w:jc w:val="both"/>
        <w:rPr>
          <w:lang w:val="de-DE"/>
        </w:rPr>
      </w:pPr>
    </w:p>
    <w:p w14:paraId="4A98ECBC" w14:textId="77777777" w:rsidR="00537624" w:rsidRPr="00537624" w:rsidRDefault="00537624" w:rsidP="001A5555">
      <w:pPr>
        <w:jc w:val="both"/>
        <w:rPr>
          <w:lang w:val="de-DE"/>
        </w:rPr>
      </w:pPr>
      <w:r w:rsidRPr="00537624">
        <w:rPr>
          <w:lang w:val="de-DE"/>
        </w:rPr>
        <w:tab/>
        <w:t>Der Durchschnittspreis der in § 1 erwähnten Kraftstoffe wird wie folgt berechnet:</w:t>
      </w:r>
    </w:p>
    <w:p w14:paraId="67BEBD6A" w14:textId="77777777" w:rsidR="00537624" w:rsidRPr="00537624" w:rsidRDefault="00537624" w:rsidP="001A5555">
      <w:pPr>
        <w:jc w:val="both"/>
        <w:rPr>
          <w:lang w:val="de-DE"/>
        </w:rPr>
      </w:pPr>
    </w:p>
    <w:p w14:paraId="1B757289" w14:textId="77777777" w:rsidR="00537624" w:rsidRPr="00537624" w:rsidRDefault="00537624" w:rsidP="001A5555">
      <w:pPr>
        <w:jc w:val="both"/>
        <w:rPr>
          <w:lang w:val="de-DE"/>
        </w:rPr>
      </w:pPr>
      <w:r w:rsidRPr="00537624">
        <w:rPr>
          <w:lang w:val="de-DE"/>
        </w:rPr>
        <w:tab/>
        <w:t>Preis in €/100 km = Durchschnittsverbrauch in Kraftstoffeinheit/100 km * Durch</w:t>
      </w:r>
      <w:r w:rsidRPr="00537624">
        <w:rPr>
          <w:lang w:val="de-DE"/>
        </w:rPr>
        <w:softHyphen/>
        <w:t>schnittspreis des Kraftstoffs in €/Kraftstoffeinheit.</w:t>
      </w:r>
    </w:p>
    <w:p w14:paraId="03B7C23F" w14:textId="77777777" w:rsidR="00537624" w:rsidRPr="00537624" w:rsidRDefault="00537624" w:rsidP="001A5555">
      <w:pPr>
        <w:jc w:val="both"/>
        <w:rPr>
          <w:lang w:val="de-DE"/>
        </w:rPr>
      </w:pPr>
    </w:p>
    <w:p w14:paraId="3BA3A183" w14:textId="77777777" w:rsidR="00537624" w:rsidRPr="00537624" w:rsidRDefault="00537624" w:rsidP="001A5555">
      <w:pPr>
        <w:jc w:val="both"/>
        <w:rPr>
          <w:lang w:val="de-DE"/>
        </w:rPr>
      </w:pPr>
      <w:r w:rsidRPr="00537624">
        <w:rPr>
          <w:lang w:val="de-DE"/>
        </w:rPr>
        <w:tab/>
        <w:t>Der Durchschnittsverbrauch in Kraftstoffeinheit/100 km wird jährlich bei der Aktualisierung des zweiten Quartals vom Föderalen Öffentlichen Dienst Wirtschaft, KMB, Mittelstand und Energie wie folgt veranschlagt:</w:t>
      </w:r>
    </w:p>
    <w:p w14:paraId="0F77E207" w14:textId="77777777" w:rsidR="00537624" w:rsidRPr="00537624" w:rsidRDefault="00537624" w:rsidP="001A5555">
      <w:pPr>
        <w:jc w:val="both"/>
        <w:rPr>
          <w:lang w:val="de-DE"/>
        </w:rPr>
      </w:pPr>
    </w:p>
    <w:p w14:paraId="0526EC4E" w14:textId="77777777" w:rsidR="00537624" w:rsidRPr="00537624" w:rsidRDefault="00537624" w:rsidP="001A5555">
      <w:pPr>
        <w:jc w:val="both"/>
        <w:rPr>
          <w:lang w:val="de-DE"/>
        </w:rPr>
      </w:pPr>
      <w:r w:rsidRPr="00537624">
        <w:rPr>
          <w:lang w:val="de-DE"/>
        </w:rPr>
        <w:tab/>
        <w:t>1. Die Fahrzeugklasse, in der die meisten neuen Fahrzeuge im vorhergehenden Jahr zugelassen worden sind, wird ermittelt.</w:t>
      </w:r>
    </w:p>
    <w:p w14:paraId="414423EF" w14:textId="77777777" w:rsidR="00537624" w:rsidRPr="00537624" w:rsidRDefault="00537624" w:rsidP="001A5555">
      <w:pPr>
        <w:jc w:val="both"/>
        <w:rPr>
          <w:lang w:val="de-DE"/>
        </w:rPr>
      </w:pPr>
    </w:p>
    <w:p w14:paraId="6E23591E" w14:textId="77777777" w:rsidR="00537624" w:rsidRPr="00537624" w:rsidRDefault="00537624" w:rsidP="001A5555">
      <w:pPr>
        <w:jc w:val="both"/>
        <w:rPr>
          <w:lang w:val="de-DE"/>
        </w:rPr>
      </w:pPr>
      <w:r w:rsidRPr="00537624">
        <w:rPr>
          <w:lang w:val="de-DE"/>
        </w:rPr>
        <w:tab/>
        <w:t>2. In dieser Fahrzeugklasse werden für jeden Kraftstoff die drei meistverkauften Modelle ermittelt und zwar entsprechend der Verfügbarkeit der Angaben.</w:t>
      </w:r>
    </w:p>
    <w:p w14:paraId="5D1ED72C" w14:textId="77777777" w:rsidR="00537624" w:rsidRPr="00537624" w:rsidRDefault="00537624" w:rsidP="001A5555">
      <w:pPr>
        <w:jc w:val="both"/>
        <w:rPr>
          <w:lang w:val="de-DE"/>
        </w:rPr>
      </w:pPr>
    </w:p>
    <w:p w14:paraId="033195D2" w14:textId="77777777" w:rsidR="00537624" w:rsidRPr="00537624" w:rsidRDefault="00537624" w:rsidP="001A5555">
      <w:pPr>
        <w:jc w:val="both"/>
        <w:rPr>
          <w:lang w:val="de-DE"/>
        </w:rPr>
      </w:pPr>
      <w:r w:rsidRPr="00537624">
        <w:rPr>
          <w:lang w:val="de-DE"/>
        </w:rPr>
        <w:tab/>
        <w:t xml:space="preserve">3. Der Durchschnittsverbrauch dieser Modelle wird anhand des Protokolls Worldwide </w:t>
      </w:r>
      <w:r w:rsidRPr="00537624">
        <w:rPr>
          <w:lang w:val="en-GB"/>
        </w:rPr>
        <w:t>Harmonised Light Vehicles Test Procedures</w:t>
      </w:r>
      <w:r w:rsidRPr="00537624">
        <w:rPr>
          <w:lang w:val="de-DE"/>
        </w:rPr>
        <w:t>, nachstehend "WLTP" genannt, ermittelt.</w:t>
      </w:r>
    </w:p>
    <w:p w14:paraId="204D3CCF" w14:textId="77777777" w:rsidR="00537624" w:rsidRPr="00537624" w:rsidRDefault="00537624" w:rsidP="001A5555">
      <w:pPr>
        <w:jc w:val="both"/>
        <w:rPr>
          <w:lang w:val="de-DE"/>
        </w:rPr>
      </w:pPr>
    </w:p>
    <w:p w14:paraId="4E22886C" w14:textId="77777777" w:rsidR="00537624" w:rsidRPr="00537624" w:rsidRDefault="00537624" w:rsidP="001A5555">
      <w:pPr>
        <w:jc w:val="both"/>
        <w:rPr>
          <w:lang w:val="de-DE"/>
        </w:rPr>
      </w:pPr>
      <w:r w:rsidRPr="00537624">
        <w:rPr>
          <w:lang w:val="de-DE"/>
        </w:rPr>
        <w:tab/>
        <w:t>4. Anschließend wird ein Durchschnittsverbrauch berechnet, der nach dem Verhältnis der Zulassungen gewichtet wird.</w:t>
      </w:r>
    </w:p>
    <w:p w14:paraId="1DD8830F" w14:textId="77777777" w:rsidR="00537624" w:rsidRPr="00537624" w:rsidRDefault="00537624" w:rsidP="001A5555">
      <w:pPr>
        <w:jc w:val="both"/>
        <w:rPr>
          <w:lang w:val="de-DE"/>
        </w:rPr>
      </w:pPr>
    </w:p>
    <w:p w14:paraId="1628988A" w14:textId="52BEAD69" w:rsidR="00537624" w:rsidRPr="00537624" w:rsidRDefault="00537624" w:rsidP="001A5555">
      <w:pPr>
        <w:jc w:val="both"/>
        <w:rPr>
          <w:spacing w:val="-2"/>
          <w:lang w:val="de-DE"/>
        </w:rPr>
      </w:pPr>
      <w:r w:rsidRPr="00537624">
        <w:rPr>
          <w:spacing w:val="-2"/>
          <w:lang w:val="de-DE"/>
        </w:rPr>
        <w:tab/>
        <w:t>Die Durchschnittspreise der Kraftstoffe werden vierteljährlich vom Föderalen Öffentli</w:t>
      </w:r>
      <w:r>
        <w:rPr>
          <w:spacing w:val="-2"/>
          <w:lang w:val="de-DE"/>
        </w:rPr>
        <w:softHyphen/>
      </w:r>
      <w:r w:rsidRPr="00537624">
        <w:rPr>
          <w:spacing w:val="-2"/>
          <w:lang w:val="de-DE"/>
        </w:rPr>
        <w:t>chen Dienst Wirtschaft, KMB, Mittelstand und Energie veranschlagt, indem ein Durchschnitt der Tagespreise berechnet wird, die im Quartal vor der Veranschlagung vom Föderalen Öffentlichen Dienst Wirtschaft, KMB, Mittelstand und Energie festgestellt worden sind.</w:t>
      </w:r>
    </w:p>
    <w:p w14:paraId="2E70A18D" w14:textId="77777777" w:rsidR="00537624" w:rsidRPr="00537624" w:rsidRDefault="00537624" w:rsidP="001A5555">
      <w:pPr>
        <w:jc w:val="both"/>
        <w:rPr>
          <w:lang w:val="de-DE"/>
        </w:rPr>
      </w:pPr>
    </w:p>
    <w:p w14:paraId="31F279A3" w14:textId="77777777" w:rsidR="00537624" w:rsidRPr="00537624" w:rsidRDefault="00537624" w:rsidP="001A5555">
      <w:pPr>
        <w:jc w:val="both"/>
        <w:rPr>
          <w:lang w:val="de-DE"/>
        </w:rPr>
      </w:pPr>
      <w:r w:rsidRPr="00537624">
        <w:rPr>
          <w:lang w:val="de-DE"/>
        </w:rPr>
        <w:tab/>
        <w:t>Die für die Berechnung des Durchschnittspreises pro 100 km benutzten Angaben stammen von:</w:t>
      </w:r>
    </w:p>
    <w:p w14:paraId="3E312CC5" w14:textId="77777777" w:rsidR="00537624" w:rsidRPr="00537624" w:rsidRDefault="00537624" w:rsidP="001A5555">
      <w:pPr>
        <w:jc w:val="both"/>
        <w:rPr>
          <w:lang w:val="de-DE"/>
        </w:rPr>
      </w:pPr>
    </w:p>
    <w:p w14:paraId="7F8F5123" w14:textId="77777777" w:rsidR="00537624" w:rsidRPr="00537624" w:rsidRDefault="00537624" w:rsidP="001A5555">
      <w:pPr>
        <w:jc w:val="both"/>
        <w:rPr>
          <w:lang w:val="de-DE"/>
        </w:rPr>
      </w:pPr>
      <w:r w:rsidRPr="00537624">
        <w:rPr>
          <w:lang w:val="de-DE"/>
        </w:rPr>
        <w:tab/>
        <w:t>1. den Automobilherstellern über das WLTP-Protokoll, was den durchschnittlichen Kraftstoffverbrauch der Fahrzeuge betrifft,</w:t>
      </w:r>
    </w:p>
    <w:p w14:paraId="3828A82C" w14:textId="77777777" w:rsidR="00537624" w:rsidRPr="00537624" w:rsidRDefault="00537624" w:rsidP="001A5555">
      <w:pPr>
        <w:jc w:val="both"/>
        <w:rPr>
          <w:lang w:val="de-DE"/>
        </w:rPr>
      </w:pPr>
    </w:p>
    <w:p w14:paraId="0AC86E96" w14:textId="77777777" w:rsidR="00537624" w:rsidRPr="00537624" w:rsidRDefault="00537624" w:rsidP="001A5555">
      <w:pPr>
        <w:jc w:val="both"/>
        <w:rPr>
          <w:lang w:val="de-DE"/>
        </w:rPr>
      </w:pPr>
      <w:r w:rsidRPr="00537624">
        <w:rPr>
          <w:lang w:val="de-DE"/>
        </w:rPr>
        <w:tab/>
        <w:t>2. dem Föderalen Öffentlichen Dienst Wirtschaft, KMB, Mittelstand und Energie, was die durchschnittlichen Kraftstoffpreise betrifft,</w:t>
      </w:r>
    </w:p>
    <w:p w14:paraId="464738B9" w14:textId="77777777" w:rsidR="00537624" w:rsidRPr="00537624" w:rsidRDefault="00537624" w:rsidP="001A5555">
      <w:pPr>
        <w:jc w:val="both"/>
        <w:rPr>
          <w:lang w:val="de-DE"/>
        </w:rPr>
      </w:pPr>
    </w:p>
    <w:p w14:paraId="3557EEF1" w14:textId="77777777" w:rsidR="00537624" w:rsidRPr="00537624" w:rsidRDefault="00537624" w:rsidP="001A5555">
      <w:pPr>
        <w:jc w:val="both"/>
        <w:rPr>
          <w:lang w:val="de-DE"/>
        </w:rPr>
      </w:pPr>
      <w:r w:rsidRPr="00537624">
        <w:rPr>
          <w:lang w:val="de-DE"/>
        </w:rPr>
        <w:tab/>
        <w:t>3. dem Föderalen Öffentlichen Dienst Mobilität und Transportwesen, was die meistverkaufte Fahrzeugklasse und die meistverkauften Fahrzeugmodelle pro Kraftstoffart der meistverkauften Fahrzeugklasse betrifft.</w:t>
      </w:r>
    </w:p>
    <w:p w14:paraId="0976764F" w14:textId="77777777" w:rsidR="00537624" w:rsidRPr="00537624" w:rsidRDefault="00537624" w:rsidP="001A5555">
      <w:pPr>
        <w:jc w:val="both"/>
        <w:rPr>
          <w:lang w:val="de-DE"/>
        </w:rPr>
      </w:pPr>
    </w:p>
    <w:p w14:paraId="20A5779D" w14:textId="77777777" w:rsidR="00537624" w:rsidRPr="00537624" w:rsidRDefault="00537624" w:rsidP="001A5555">
      <w:pPr>
        <w:jc w:val="both"/>
        <w:rPr>
          <w:lang w:val="de-DE"/>
        </w:rPr>
      </w:pPr>
      <w:r w:rsidRPr="00537624">
        <w:rPr>
          <w:lang w:val="de-DE"/>
        </w:rPr>
        <w:tab/>
        <w:t>§ 3 - Die in § 1 erwähnte spezifische Unterlage wird den Tankstationen spätestens zwei Wochen vor Beginn jedes Quartals, das heißt am 16. Dezember, 16. März, 16. Juni und 16. September jedes Jahres, auf der Internetseite des Föderalen Öffentlichen Dienstes Wirtschaft, KMB, Mittelstand und Energie zur Verfügung gestellt. Sie wird den Tankstationen auf Verlangen per Post oder per E-Mail übermittelt.</w:t>
      </w:r>
    </w:p>
    <w:p w14:paraId="06EA7D62" w14:textId="77777777" w:rsidR="00537624" w:rsidRPr="00537624" w:rsidRDefault="00537624" w:rsidP="001A5555">
      <w:pPr>
        <w:jc w:val="both"/>
        <w:rPr>
          <w:lang w:val="de-DE"/>
        </w:rPr>
      </w:pPr>
    </w:p>
    <w:p w14:paraId="6CD8C6AE" w14:textId="77777777" w:rsidR="00537624" w:rsidRPr="00537624" w:rsidRDefault="00537624" w:rsidP="001A5555">
      <w:pPr>
        <w:jc w:val="both"/>
        <w:rPr>
          <w:lang w:val="de-DE"/>
        </w:rPr>
      </w:pPr>
      <w:r w:rsidRPr="00537624">
        <w:rPr>
          <w:lang w:val="de-DE"/>
        </w:rPr>
        <w:tab/>
        <w:t>Die Anzeige der in § 1 erwähnten spezifischen Unterlage kann elektronisch oder auf Papier erfolgen, je nach Wahl des Verantwortlichen jeder Tankstation.</w:t>
      </w:r>
    </w:p>
    <w:p w14:paraId="534AF640" w14:textId="77777777" w:rsidR="00537624" w:rsidRPr="00537624" w:rsidRDefault="00537624" w:rsidP="001A5555">
      <w:pPr>
        <w:jc w:val="both"/>
        <w:rPr>
          <w:lang w:val="de-DE"/>
        </w:rPr>
      </w:pPr>
    </w:p>
    <w:p w14:paraId="7DD5C498" w14:textId="77777777" w:rsidR="00537624" w:rsidRPr="00537624" w:rsidRDefault="00537624" w:rsidP="001A5555">
      <w:pPr>
        <w:jc w:val="both"/>
        <w:rPr>
          <w:lang w:val="de-DE"/>
        </w:rPr>
      </w:pPr>
      <w:r w:rsidRPr="00537624">
        <w:rPr>
          <w:lang w:val="de-DE"/>
        </w:rPr>
        <w:tab/>
        <w:t>Die Mindestabmessungen der in § 1 erwähnten spezifischen Unterlage entsprechen dem A3-Format, das heißt 297 mm auf 420 mm. Es wird empfohlen, für eine bessere Sichtbarkeit und Lesbarkeit ein größeres Format zu benutzen.</w:t>
      </w:r>
    </w:p>
    <w:p w14:paraId="0CE40923" w14:textId="77777777" w:rsidR="00537624" w:rsidRPr="00537624" w:rsidRDefault="00537624" w:rsidP="001A5555">
      <w:pPr>
        <w:jc w:val="both"/>
        <w:rPr>
          <w:lang w:val="de-DE"/>
        </w:rPr>
      </w:pPr>
    </w:p>
    <w:p w14:paraId="233F3864" w14:textId="77777777" w:rsidR="00537624" w:rsidRPr="00537624" w:rsidRDefault="00537624" w:rsidP="001A5555">
      <w:pPr>
        <w:jc w:val="both"/>
        <w:rPr>
          <w:lang w:val="de-DE"/>
        </w:rPr>
      </w:pPr>
      <w:r w:rsidRPr="00537624">
        <w:rPr>
          <w:lang w:val="de-DE"/>
        </w:rPr>
        <w:tab/>
        <w:t>Das Muster der in § 1 erwähnten spezifischen Unterlage enthält mindestens die in der Anlage angegebenen Informationen."</w:t>
      </w:r>
    </w:p>
    <w:p w14:paraId="4B632267" w14:textId="77777777" w:rsidR="00537624" w:rsidRPr="00537624" w:rsidRDefault="00537624" w:rsidP="001A5555">
      <w:pPr>
        <w:jc w:val="both"/>
        <w:rPr>
          <w:lang w:val="de-DE"/>
        </w:rPr>
      </w:pPr>
    </w:p>
    <w:p w14:paraId="352BAD99" w14:textId="77777777" w:rsidR="00537624" w:rsidRPr="00537624" w:rsidRDefault="00537624" w:rsidP="001A5555">
      <w:pPr>
        <w:jc w:val="both"/>
        <w:rPr>
          <w:lang w:val="de-DE"/>
        </w:rPr>
      </w:pPr>
    </w:p>
    <w:p w14:paraId="67AF9ACD" w14:textId="77777777" w:rsidR="00537624" w:rsidRPr="00537624" w:rsidRDefault="00537624" w:rsidP="001A5555">
      <w:pPr>
        <w:jc w:val="both"/>
        <w:rPr>
          <w:lang w:val="de-DE"/>
        </w:rPr>
      </w:pPr>
      <w:r w:rsidRPr="00537624">
        <w:rPr>
          <w:lang w:val="de-DE"/>
        </w:rPr>
        <w:tab/>
      </w:r>
      <w:r w:rsidRPr="00537624">
        <w:rPr>
          <w:b/>
          <w:bCs/>
          <w:lang w:val="de-DE"/>
        </w:rPr>
        <w:t>Art. 4 -</w:t>
      </w:r>
      <w:r w:rsidRPr="00537624">
        <w:rPr>
          <w:lang w:val="de-DE"/>
        </w:rPr>
        <w:t xml:space="preserve"> In denselben Erlass wird eine Anlage eingefügt, die vorliegendem Erlass als Anlage beigefügt ist.</w:t>
      </w:r>
    </w:p>
    <w:p w14:paraId="56D28A9B" w14:textId="77777777" w:rsidR="00537624" w:rsidRPr="00537624" w:rsidRDefault="00537624" w:rsidP="001A5555">
      <w:pPr>
        <w:jc w:val="both"/>
        <w:rPr>
          <w:lang w:val="de-DE"/>
        </w:rPr>
      </w:pPr>
    </w:p>
    <w:p w14:paraId="661C37DE" w14:textId="77777777" w:rsidR="00537624" w:rsidRPr="00537624" w:rsidRDefault="00537624" w:rsidP="001A5555">
      <w:pPr>
        <w:jc w:val="both"/>
        <w:rPr>
          <w:lang w:val="de-DE"/>
        </w:rPr>
      </w:pPr>
    </w:p>
    <w:p w14:paraId="63983E80" w14:textId="77777777" w:rsidR="00537624" w:rsidRPr="00537624" w:rsidRDefault="00537624" w:rsidP="001A5555">
      <w:pPr>
        <w:jc w:val="both"/>
        <w:rPr>
          <w:lang w:val="de-DE"/>
        </w:rPr>
      </w:pPr>
      <w:r w:rsidRPr="00537624">
        <w:rPr>
          <w:lang w:val="de-DE"/>
        </w:rPr>
        <w:tab/>
      </w:r>
      <w:r w:rsidRPr="00537624">
        <w:rPr>
          <w:b/>
          <w:bCs/>
          <w:lang w:val="de-DE"/>
        </w:rPr>
        <w:t>Art. 5 -</w:t>
      </w:r>
      <w:r w:rsidRPr="00537624">
        <w:rPr>
          <w:lang w:val="de-DE"/>
        </w:rPr>
        <w:t xml:space="preserve"> Vorliegender Erlass tritt zehn Tage nach seiner Veröffentlichung im </w:t>
      </w:r>
      <w:r w:rsidRPr="00537624">
        <w:rPr>
          <w:i/>
          <w:lang w:val="de-DE"/>
        </w:rPr>
        <w:t>Belgischen Staatsblatt</w:t>
      </w:r>
      <w:r w:rsidRPr="00537624">
        <w:rPr>
          <w:lang w:val="de-DE"/>
        </w:rPr>
        <w:t xml:space="preserve"> in Kraft, mit Ausnahme von Artikel 3, der am ersten Tage des Quartals nach dem zweiten Monat nach Veröffentlichung des vorliegenden Erlasses im </w:t>
      </w:r>
      <w:r w:rsidRPr="00537624">
        <w:rPr>
          <w:i/>
          <w:lang w:val="de-DE"/>
        </w:rPr>
        <w:t>Belgischen Staatsblatt</w:t>
      </w:r>
      <w:r w:rsidRPr="00537624">
        <w:rPr>
          <w:lang w:val="de-DE"/>
        </w:rPr>
        <w:t xml:space="preserve"> in Kraft tritt.</w:t>
      </w:r>
    </w:p>
    <w:p w14:paraId="62A2A231" w14:textId="77777777" w:rsidR="00537624" w:rsidRPr="00537624" w:rsidRDefault="00537624" w:rsidP="001A5555">
      <w:pPr>
        <w:jc w:val="both"/>
        <w:rPr>
          <w:lang w:val="de-DE"/>
        </w:rPr>
      </w:pPr>
    </w:p>
    <w:p w14:paraId="14352F02" w14:textId="77777777" w:rsidR="00537624" w:rsidRPr="00537624" w:rsidRDefault="00537624" w:rsidP="001A5555">
      <w:pPr>
        <w:jc w:val="both"/>
        <w:rPr>
          <w:lang w:val="de-DE"/>
        </w:rPr>
      </w:pPr>
    </w:p>
    <w:p w14:paraId="12420109" w14:textId="77777777" w:rsidR="00537624" w:rsidRPr="00537624" w:rsidRDefault="00537624" w:rsidP="001A5555">
      <w:pPr>
        <w:jc w:val="both"/>
        <w:rPr>
          <w:lang w:val="de-DE"/>
        </w:rPr>
      </w:pPr>
      <w:r w:rsidRPr="00537624">
        <w:rPr>
          <w:lang w:val="de-DE"/>
        </w:rPr>
        <w:tab/>
      </w:r>
      <w:r w:rsidRPr="00537624">
        <w:rPr>
          <w:b/>
          <w:bCs/>
          <w:lang w:val="de-DE"/>
        </w:rPr>
        <w:t>Art. 6 -</w:t>
      </w:r>
      <w:r w:rsidRPr="00537624">
        <w:rPr>
          <w:lang w:val="de-DE"/>
        </w:rPr>
        <w:t xml:space="preserve"> Die für Wirtschaft, Mobilität, Energie beziehungsweise Verbraucherschutz zuständigen Minister sind, jeweils für ihren Bereich, mit der Ausführung des vorliegenden Erlasses beauftragt.</w:t>
      </w:r>
    </w:p>
    <w:p w14:paraId="092E7583" w14:textId="77777777" w:rsidR="00537624" w:rsidRPr="00537624" w:rsidRDefault="00537624" w:rsidP="001A5555">
      <w:pPr>
        <w:jc w:val="both"/>
        <w:rPr>
          <w:lang w:val="de-DE"/>
        </w:rPr>
      </w:pPr>
    </w:p>
    <w:p w14:paraId="565EE1C1" w14:textId="77777777" w:rsidR="00537624" w:rsidRPr="00537624" w:rsidRDefault="00537624" w:rsidP="001A5555">
      <w:pPr>
        <w:jc w:val="both"/>
        <w:rPr>
          <w:lang w:val="de-DE"/>
        </w:rPr>
      </w:pPr>
      <w:r w:rsidRPr="00537624">
        <w:rPr>
          <w:lang w:val="de-DE"/>
        </w:rPr>
        <w:tab/>
        <w:t>Gegeben zu Brüssel, den 9. Dezember 2021</w:t>
      </w:r>
    </w:p>
    <w:p w14:paraId="110787AD" w14:textId="77777777" w:rsidR="00537624" w:rsidRPr="00537624" w:rsidRDefault="00537624" w:rsidP="001A5555">
      <w:pPr>
        <w:jc w:val="both"/>
        <w:rPr>
          <w:lang w:val="de-DE"/>
        </w:rPr>
      </w:pPr>
    </w:p>
    <w:p w14:paraId="68ECB42A" w14:textId="77777777" w:rsidR="00537624" w:rsidRPr="00537624" w:rsidRDefault="00537624" w:rsidP="001A5555">
      <w:pPr>
        <w:jc w:val="both"/>
        <w:rPr>
          <w:lang w:val="de-DE"/>
        </w:rPr>
      </w:pPr>
    </w:p>
    <w:p w14:paraId="5BC89190" w14:textId="77777777" w:rsidR="00537624" w:rsidRPr="00537624" w:rsidRDefault="00537624" w:rsidP="00050965">
      <w:pPr>
        <w:jc w:val="center"/>
        <w:rPr>
          <w:lang w:val="de-DE"/>
        </w:rPr>
      </w:pPr>
      <w:r w:rsidRPr="00537624">
        <w:rPr>
          <w:lang w:val="de-DE"/>
        </w:rPr>
        <w:t>PHILIPPE</w:t>
      </w:r>
    </w:p>
    <w:p w14:paraId="38852724" w14:textId="77777777" w:rsidR="00537624" w:rsidRPr="00537624" w:rsidRDefault="00537624" w:rsidP="00050965">
      <w:pPr>
        <w:jc w:val="center"/>
        <w:rPr>
          <w:lang w:val="de-DE"/>
        </w:rPr>
      </w:pPr>
    </w:p>
    <w:p w14:paraId="673B6425" w14:textId="77777777" w:rsidR="00537624" w:rsidRPr="00537624" w:rsidRDefault="00537624" w:rsidP="00050965">
      <w:pPr>
        <w:jc w:val="center"/>
        <w:rPr>
          <w:lang w:val="de-DE"/>
        </w:rPr>
      </w:pPr>
      <w:r w:rsidRPr="00537624">
        <w:rPr>
          <w:lang w:val="de-DE"/>
        </w:rPr>
        <w:t>Von Königs wegen:</w:t>
      </w:r>
    </w:p>
    <w:p w14:paraId="6C7DD800" w14:textId="77777777" w:rsidR="00537624" w:rsidRPr="00537624" w:rsidRDefault="00537624" w:rsidP="00050965">
      <w:pPr>
        <w:jc w:val="center"/>
        <w:rPr>
          <w:lang w:val="de-DE"/>
        </w:rPr>
      </w:pPr>
    </w:p>
    <w:p w14:paraId="32D45BCE" w14:textId="77777777" w:rsidR="00537624" w:rsidRPr="00537624" w:rsidRDefault="00537624" w:rsidP="00050965">
      <w:pPr>
        <w:jc w:val="center"/>
        <w:rPr>
          <w:lang w:val="de-DE"/>
        </w:rPr>
      </w:pPr>
      <w:r w:rsidRPr="00537624">
        <w:rPr>
          <w:lang w:val="de-DE"/>
        </w:rPr>
        <w:t>Der Minister der Wirtschaft</w:t>
      </w:r>
    </w:p>
    <w:p w14:paraId="17D2C594" w14:textId="77777777" w:rsidR="00537624" w:rsidRPr="00537624" w:rsidRDefault="00537624" w:rsidP="00050965">
      <w:pPr>
        <w:jc w:val="center"/>
        <w:rPr>
          <w:lang w:val="de-DE"/>
        </w:rPr>
      </w:pPr>
      <w:r w:rsidRPr="00537624">
        <w:rPr>
          <w:lang w:val="de-DE"/>
        </w:rPr>
        <w:t>P.-Y. DERMAGNE</w:t>
      </w:r>
    </w:p>
    <w:p w14:paraId="0BF28D25" w14:textId="77777777" w:rsidR="00537624" w:rsidRPr="00537624" w:rsidRDefault="00537624" w:rsidP="00050965">
      <w:pPr>
        <w:jc w:val="center"/>
        <w:rPr>
          <w:lang w:val="de-DE"/>
        </w:rPr>
      </w:pPr>
    </w:p>
    <w:p w14:paraId="731D77C4" w14:textId="77777777" w:rsidR="00537624" w:rsidRPr="00537624" w:rsidRDefault="00537624" w:rsidP="00050965">
      <w:pPr>
        <w:jc w:val="center"/>
        <w:rPr>
          <w:lang w:val="de-DE"/>
        </w:rPr>
      </w:pPr>
      <w:r w:rsidRPr="00537624">
        <w:rPr>
          <w:lang w:val="de-DE"/>
        </w:rPr>
        <w:t>Der Minister der Mobilität</w:t>
      </w:r>
    </w:p>
    <w:p w14:paraId="4C88844D" w14:textId="77777777" w:rsidR="00537624" w:rsidRPr="00537624" w:rsidRDefault="00537624" w:rsidP="00050965">
      <w:pPr>
        <w:jc w:val="center"/>
        <w:rPr>
          <w:lang w:val="de-DE"/>
        </w:rPr>
      </w:pPr>
      <w:r w:rsidRPr="00537624">
        <w:rPr>
          <w:lang w:val="de-DE"/>
        </w:rPr>
        <w:t>G. GILKINET</w:t>
      </w:r>
    </w:p>
    <w:p w14:paraId="2C485F9B" w14:textId="77777777" w:rsidR="00537624" w:rsidRPr="00537624" w:rsidRDefault="00537624" w:rsidP="00050965">
      <w:pPr>
        <w:jc w:val="center"/>
        <w:rPr>
          <w:lang w:val="de-DE"/>
        </w:rPr>
      </w:pPr>
    </w:p>
    <w:p w14:paraId="6F888AC8" w14:textId="77777777" w:rsidR="00537624" w:rsidRPr="00537624" w:rsidRDefault="00537624" w:rsidP="00050965">
      <w:pPr>
        <w:jc w:val="center"/>
        <w:rPr>
          <w:lang w:val="de-DE"/>
        </w:rPr>
      </w:pPr>
      <w:r w:rsidRPr="00537624">
        <w:rPr>
          <w:lang w:val="de-DE"/>
        </w:rPr>
        <w:t>Die Ministerin der Energie</w:t>
      </w:r>
    </w:p>
    <w:p w14:paraId="644113D0" w14:textId="77777777" w:rsidR="00537624" w:rsidRPr="00537624" w:rsidRDefault="00537624" w:rsidP="00050965">
      <w:pPr>
        <w:jc w:val="center"/>
        <w:rPr>
          <w:lang w:val="de-DE"/>
        </w:rPr>
      </w:pPr>
      <w:r w:rsidRPr="00537624">
        <w:rPr>
          <w:lang w:val="de-DE"/>
        </w:rPr>
        <w:t>T. VAN DER STRAETEN</w:t>
      </w:r>
    </w:p>
    <w:p w14:paraId="2FA207D4" w14:textId="77777777" w:rsidR="00537624" w:rsidRPr="00537624" w:rsidRDefault="00537624" w:rsidP="00050965">
      <w:pPr>
        <w:jc w:val="center"/>
        <w:rPr>
          <w:lang w:val="de-DE"/>
        </w:rPr>
      </w:pPr>
    </w:p>
    <w:p w14:paraId="76130DC1" w14:textId="77777777" w:rsidR="00537624" w:rsidRPr="00537624" w:rsidRDefault="00537624" w:rsidP="00050965">
      <w:pPr>
        <w:jc w:val="center"/>
        <w:rPr>
          <w:lang w:val="de-DE"/>
        </w:rPr>
      </w:pPr>
      <w:r w:rsidRPr="00537624">
        <w:rPr>
          <w:lang w:val="de-DE"/>
        </w:rPr>
        <w:t>Die Staatssekretärin für Verbraucherschutz</w:t>
      </w:r>
    </w:p>
    <w:p w14:paraId="540398BA" w14:textId="77777777" w:rsidR="00537624" w:rsidRPr="00537624" w:rsidRDefault="00537624" w:rsidP="00050965">
      <w:pPr>
        <w:jc w:val="center"/>
        <w:rPr>
          <w:lang w:val="de-DE"/>
        </w:rPr>
        <w:sectPr w:rsidR="00537624" w:rsidRPr="00537624" w:rsidSect="00537624">
          <w:pgSz w:w="11906" w:h="16838" w:code="9"/>
          <w:pgMar w:top="1418" w:right="1418" w:bottom="1276" w:left="1418" w:header="709" w:footer="709" w:gutter="0"/>
          <w:cols w:space="708"/>
          <w:docGrid w:linePitch="360"/>
        </w:sectPr>
      </w:pPr>
      <w:r w:rsidRPr="00537624">
        <w:rPr>
          <w:lang w:val="de-DE"/>
        </w:rPr>
        <w:t>E. DE BLEEKER</w:t>
      </w:r>
    </w:p>
    <w:p w14:paraId="0BFA88B7" w14:textId="6F229424" w:rsidR="00537624" w:rsidRPr="00537624" w:rsidRDefault="00537624" w:rsidP="00537624">
      <w:pPr>
        <w:jc w:val="center"/>
        <w:rPr>
          <w:lang w:val="de-DE"/>
        </w:rPr>
      </w:pPr>
      <w:bookmarkStart w:id="0" w:name="_Hlk135131480"/>
      <w:r w:rsidRPr="00537624">
        <w:rPr>
          <w:lang w:val="de-DE"/>
        </w:rPr>
        <w:lastRenderedPageBreak/>
        <w:t>Anlage</w:t>
      </w:r>
    </w:p>
    <w:p w14:paraId="255B8603" w14:textId="77777777" w:rsidR="00537624" w:rsidRPr="00537624" w:rsidRDefault="00537624" w:rsidP="001A5555">
      <w:pPr>
        <w:jc w:val="both"/>
        <w:rPr>
          <w:lang w:val="de-DE"/>
        </w:rPr>
      </w:pPr>
    </w:p>
    <w:p w14:paraId="4330D70A" w14:textId="77777777" w:rsidR="00537624" w:rsidRPr="00537624" w:rsidRDefault="00537624" w:rsidP="001A5555">
      <w:pPr>
        <w:jc w:val="both"/>
        <w:rPr>
          <w:lang w:val="de-DE"/>
        </w:rPr>
      </w:pPr>
      <w:r w:rsidRPr="00537624">
        <w:rPr>
          <w:lang w:val="de-DE"/>
        </w:rPr>
        <w:t>Anlage zum Königlichen Erlass vom 13. April 2019 über die Bezeichnung und die Eigenschaften von alternativen Kraftstoffen</w:t>
      </w:r>
    </w:p>
    <w:p w14:paraId="43B66C14" w14:textId="77777777" w:rsidR="00537624" w:rsidRPr="00537624" w:rsidRDefault="00537624" w:rsidP="001A5555">
      <w:pPr>
        <w:jc w:val="both"/>
        <w:rPr>
          <w:lang w:val="de-DE"/>
        </w:rPr>
      </w:pPr>
    </w:p>
    <w:p w14:paraId="485D261D" w14:textId="77777777" w:rsidR="00537624" w:rsidRPr="00537624" w:rsidRDefault="00537624" w:rsidP="0078784B">
      <w:pPr>
        <w:jc w:val="center"/>
        <w:rPr>
          <w:b/>
          <w:lang w:val="de-DE"/>
        </w:rPr>
      </w:pPr>
      <w:r w:rsidRPr="00537624">
        <w:rPr>
          <w:b/>
          <w:lang w:val="de-DE"/>
        </w:rPr>
        <w:t>ANLAGE</w:t>
      </w:r>
    </w:p>
    <w:p w14:paraId="388C0120" w14:textId="77777777" w:rsidR="00537624" w:rsidRPr="00537624" w:rsidRDefault="00537624" w:rsidP="0078784B">
      <w:pPr>
        <w:jc w:val="center"/>
        <w:rPr>
          <w:b/>
          <w:lang w:val="de-DE"/>
        </w:rPr>
      </w:pPr>
    </w:p>
    <w:p w14:paraId="6E13F340" w14:textId="77777777" w:rsidR="00537624" w:rsidRPr="00537624" w:rsidRDefault="00537624" w:rsidP="0078784B">
      <w:pPr>
        <w:jc w:val="center"/>
        <w:rPr>
          <w:lang w:val="de-DE"/>
        </w:rPr>
      </w:pPr>
      <w:r w:rsidRPr="00537624">
        <w:rPr>
          <w:b/>
          <w:lang w:val="de-DE"/>
        </w:rPr>
        <w:t>MUSTER DER IN ARTIKEL 8/1 § 1 ERWÄHNTEN UNTERLAGE</w:t>
      </w:r>
    </w:p>
    <w:p w14:paraId="0E67DB29" w14:textId="77777777" w:rsidR="00537624" w:rsidRPr="00537624" w:rsidRDefault="00537624" w:rsidP="0078784B">
      <w:pPr>
        <w:jc w:val="both"/>
        <w:rPr>
          <w:lang w:val="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2220"/>
        <w:gridCol w:w="777"/>
        <w:gridCol w:w="1912"/>
        <w:gridCol w:w="577"/>
        <w:gridCol w:w="2068"/>
      </w:tblGrid>
      <w:tr w:rsidR="00537624" w14:paraId="1D1286A3" w14:textId="77777777" w:rsidTr="00537624">
        <w:trPr>
          <w:trHeight w:val="567"/>
        </w:trPr>
        <w:tc>
          <w:tcPr>
            <w:tcW w:w="9062" w:type="dxa"/>
            <w:gridSpan w:val="6"/>
            <w:shd w:val="clear" w:color="auto" w:fill="948A54" w:themeFill="background2" w:themeFillShade="80"/>
            <w:vAlign w:val="center"/>
          </w:tcPr>
          <w:p w14:paraId="414F5F94" w14:textId="77777777" w:rsidR="00537624" w:rsidRPr="00767FA7" w:rsidRDefault="00537624" w:rsidP="00767FA7">
            <w:pPr>
              <w:jc w:val="center"/>
              <w:rPr>
                <w:b/>
                <w:sz w:val="32"/>
                <w:szCs w:val="32"/>
              </w:rPr>
            </w:pPr>
            <w:r>
              <w:rPr>
                <w:b/>
                <w:color w:val="FFFFFF" w:themeColor="background1"/>
                <w:sz w:val="32"/>
              </w:rPr>
              <w:t>Vergleich</w:t>
            </w:r>
            <w:r>
              <w:rPr>
                <w:b/>
                <w:sz w:val="32"/>
              </w:rPr>
              <w:t xml:space="preserve"> der </w:t>
            </w:r>
            <w:r>
              <w:rPr>
                <w:b/>
                <w:color w:val="FFFFFF" w:themeColor="background1"/>
                <w:sz w:val="32"/>
              </w:rPr>
              <w:t>Kraftstoffpreise</w:t>
            </w:r>
          </w:p>
        </w:tc>
      </w:tr>
      <w:tr w:rsidR="00537624" w14:paraId="0CC22317" w14:textId="77777777" w:rsidTr="00537624">
        <w:trPr>
          <w:trHeight w:val="1191"/>
        </w:trPr>
        <w:tc>
          <w:tcPr>
            <w:tcW w:w="4663" w:type="dxa"/>
            <w:gridSpan w:val="3"/>
            <w:vAlign w:val="center"/>
          </w:tcPr>
          <w:p w14:paraId="6AC3D4D5" w14:textId="77777777" w:rsidR="00537624" w:rsidRPr="00D44BE0" w:rsidRDefault="00537624" w:rsidP="00767FA7">
            <w:pPr>
              <w:jc w:val="center"/>
              <w:rPr>
                <w:b/>
                <w:sz w:val="28"/>
                <w:szCs w:val="28"/>
              </w:rPr>
            </w:pPr>
            <w:r>
              <w:rPr>
                <w:b/>
                <w:sz w:val="28"/>
              </w:rPr>
              <w:t>Quartal + Jahr</w:t>
            </w:r>
          </w:p>
        </w:tc>
        <w:tc>
          <w:tcPr>
            <w:tcW w:w="1654" w:type="dxa"/>
            <w:vAlign w:val="center"/>
          </w:tcPr>
          <w:p w14:paraId="75C8E35D" w14:textId="77777777" w:rsidR="00537624" w:rsidRPr="00D44BE0" w:rsidRDefault="00537624" w:rsidP="00D44BE0">
            <w:pPr>
              <w:jc w:val="center"/>
              <w:rPr>
                <w:b/>
                <w:sz w:val="28"/>
                <w:szCs w:val="28"/>
              </w:rPr>
            </w:pPr>
            <w:r>
              <w:rPr>
                <w:b/>
                <w:sz w:val="28"/>
              </w:rPr>
              <w:t>Stadtfahrzeug</w:t>
            </w:r>
          </w:p>
        </w:tc>
        <w:tc>
          <w:tcPr>
            <w:tcW w:w="2745" w:type="dxa"/>
            <w:gridSpan w:val="2"/>
            <w:vAlign w:val="center"/>
          </w:tcPr>
          <w:p w14:paraId="36C76DE2" w14:textId="77777777" w:rsidR="00537624" w:rsidRDefault="00537624" w:rsidP="00D44BE0">
            <w:pPr>
              <w:jc w:val="center"/>
            </w:pPr>
          </w:p>
          <w:p w14:paraId="1BCF3DC3" w14:textId="77777777" w:rsidR="00537624" w:rsidRDefault="00537624" w:rsidP="00D44BE0">
            <w:pPr>
              <w:jc w:val="center"/>
            </w:pPr>
            <w:r>
              <w:rPr>
                <w:noProof/>
              </w:rPr>
              <w:drawing>
                <wp:inline distT="0" distB="0" distL="0" distR="0" wp14:anchorId="299BFED7" wp14:editId="608C37CC">
                  <wp:extent cx="1143000" cy="571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43000" cy="571500"/>
                          </a:xfrm>
                          <a:prstGeom prst="rect">
                            <a:avLst/>
                          </a:prstGeom>
                        </pic:spPr>
                      </pic:pic>
                    </a:graphicData>
                  </a:graphic>
                </wp:inline>
              </w:drawing>
            </w:r>
          </w:p>
          <w:p w14:paraId="78812054" w14:textId="77777777" w:rsidR="00537624" w:rsidRPr="00537624" w:rsidRDefault="00537624" w:rsidP="00D44BE0">
            <w:pPr>
              <w:jc w:val="center"/>
              <w:rPr>
                <w:sz w:val="14"/>
                <w:szCs w:val="14"/>
              </w:rPr>
            </w:pPr>
          </w:p>
        </w:tc>
      </w:tr>
      <w:tr w:rsidR="00537624" w:rsidRPr="00537624" w14:paraId="5C96E871" w14:textId="77777777" w:rsidTr="00537624">
        <w:trPr>
          <w:trHeight w:val="567"/>
        </w:trPr>
        <w:tc>
          <w:tcPr>
            <w:tcW w:w="4663" w:type="dxa"/>
            <w:gridSpan w:val="3"/>
            <w:vAlign w:val="center"/>
          </w:tcPr>
          <w:p w14:paraId="0EC8E47A" w14:textId="77777777" w:rsidR="00537624" w:rsidRPr="00767FA7" w:rsidRDefault="00537624" w:rsidP="00D44BE0">
            <w:pPr>
              <w:jc w:val="center"/>
              <w:rPr>
                <w:b/>
                <w:sz w:val="28"/>
                <w:szCs w:val="28"/>
              </w:rPr>
            </w:pPr>
            <w:r>
              <w:rPr>
                <w:b/>
                <w:color w:val="948A54" w:themeColor="background2" w:themeShade="80"/>
                <w:sz w:val="28"/>
              </w:rPr>
              <w:t>Kraftstoffart</w:t>
            </w:r>
          </w:p>
        </w:tc>
        <w:tc>
          <w:tcPr>
            <w:tcW w:w="4399" w:type="dxa"/>
            <w:gridSpan w:val="3"/>
            <w:vAlign w:val="center"/>
          </w:tcPr>
          <w:p w14:paraId="4BF1DBDC" w14:textId="77777777" w:rsidR="00537624" w:rsidRPr="00537624" w:rsidRDefault="00537624" w:rsidP="00767FA7">
            <w:pPr>
              <w:jc w:val="center"/>
              <w:rPr>
                <w:b/>
                <w:color w:val="948A54" w:themeColor="background2" w:themeShade="80"/>
                <w:sz w:val="28"/>
                <w:szCs w:val="28"/>
                <w:lang w:val="de-DE"/>
              </w:rPr>
            </w:pPr>
            <w:r w:rsidRPr="00537624">
              <w:rPr>
                <w:b/>
                <w:color w:val="948A54" w:themeColor="background2" w:themeShade="80"/>
                <w:sz w:val="28"/>
                <w:lang w:val="de-DE"/>
              </w:rPr>
              <w:t>Schätzung des Preises</w:t>
            </w:r>
          </w:p>
          <w:p w14:paraId="188C61F6" w14:textId="77777777" w:rsidR="00537624" w:rsidRPr="00537624" w:rsidRDefault="00537624" w:rsidP="00767FA7">
            <w:pPr>
              <w:jc w:val="center"/>
              <w:rPr>
                <w:sz w:val="28"/>
                <w:szCs w:val="28"/>
                <w:lang w:val="de-DE"/>
              </w:rPr>
            </w:pPr>
            <w:r w:rsidRPr="00537624">
              <w:rPr>
                <w:b/>
                <w:color w:val="948A54" w:themeColor="background2" w:themeShade="80"/>
                <w:sz w:val="28"/>
                <w:lang w:val="de-DE"/>
              </w:rPr>
              <w:t>pro 100 km</w:t>
            </w:r>
          </w:p>
        </w:tc>
      </w:tr>
      <w:tr w:rsidR="00537624" w14:paraId="7CCB193E" w14:textId="77777777" w:rsidTr="00537624">
        <w:trPr>
          <w:trHeight w:val="1221"/>
        </w:trPr>
        <w:tc>
          <w:tcPr>
            <w:tcW w:w="1517" w:type="dxa"/>
            <w:vAlign w:val="center"/>
          </w:tcPr>
          <w:p w14:paraId="24601B3B" w14:textId="77777777" w:rsidR="00537624" w:rsidRPr="00537624" w:rsidRDefault="00537624" w:rsidP="00D44BE0">
            <w:pPr>
              <w:jc w:val="center"/>
              <w:rPr>
                <w:noProof/>
                <w:lang w:val="de-DE" w:eastAsia="fr-BE"/>
              </w:rPr>
            </w:pPr>
          </w:p>
          <w:p w14:paraId="16017AA8" w14:textId="77777777" w:rsidR="00537624" w:rsidRDefault="00537624" w:rsidP="00D44BE0">
            <w:pPr>
              <w:jc w:val="center"/>
            </w:pPr>
            <w:r>
              <w:rPr>
                <w:noProof/>
              </w:rPr>
              <w:drawing>
                <wp:inline distT="0" distB="0" distL="0" distR="0" wp14:anchorId="7E458810" wp14:editId="4C81D0C9">
                  <wp:extent cx="542925" cy="5048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925" cy="504825"/>
                          </a:xfrm>
                          <a:prstGeom prst="rect">
                            <a:avLst/>
                          </a:prstGeom>
                        </pic:spPr>
                      </pic:pic>
                    </a:graphicData>
                  </a:graphic>
                </wp:inline>
              </w:drawing>
            </w:r>
          </w:p>
          <w:p w14:paraId="51CB38CD" w14:textId="77777777" w:rsidR="00537624" w:rsidRPr="00537624" w:rsidRDefault="00537624" w:rsidP="00D44BE0">
            <w:pPr>
              <w:jc w:val="center"/>
              <w:rPr>
                <w:sz w:val="20"/>
                <w:szCs w:val="20"/>
              </w:rPr>
            </w:pPr>
          </w:p>
        </w:tc>
        <w:tc>
          <w:tcPr>
            <w:tcW w:w="3146" w:type="dxa"/>
            <w:gridSpan w:val="2"/>
            <w:vAlign w:val="center"/>
          </w:tcPr>
          <w:p w14:paraId="7C4EEC08" w14:textId="77777777" w:rsidR="00537624" w:rsidRPr="00767FA7" w:rsidRDefault="00537624" w:rsidP="00D44BE0">
            <w:pPr>
              <w:jc w:val="both"/>
              <w:rPr>
                <w:sz w:val="28"/>
                <w:szCs w:val="28"/>
              </w:rPr>
            </w:pPr>
            <w:r>
              <w:rPr>
                <w:sz w:val="28"/>
              </w:rPr>
              <w:t>Elektrizität*</w:t>
            </w:r>
          </w:p>
        </w:tc>
        <w:tc>
          <w:tcPr>
            <w:tcW w:w="4399" w:type="dxa"/>
            <w:gridSpan w:val="3"/>
            <w:vAlign w:val="center"/>
          </w:tcPr>
          <w:p w14:paraId="7AC1EDC2" w14:textId="77777777" w:rsidR="00537624" w:rsidRPr="00767FA7" w:rsidRDefault="00537624" w:rsidP="00767FA7">
            <w:pPr>
              <w:jc w:val="center"/>
              <w:rPr>
                <w:sz w:val="28"/>
                <w:szCs w:val="28"/>
              </w:rPr>
            </w:pPr>
            <w:r>
              <w:rPr>
                <w:sz w:val="28"/>
              </w:rPr>
              <w:t>… €</w:t>
            </w:r>
          </w:p>
        </w:tc>
      </w:tr>
      <w:tr w:rsidR="00537624" w14:paraId="51A70076" w14:textId="77777777" w:rsidTr="00537624">
        <w:trPr>
          <w:trHeight w:val="999"/>
        </w:trPr>
        <w:tc>
          <w:tcPr>
            <w:tcW w:w="1517" w:type="dxa"/>
            <w:vAlign w:val="center"/>
          </w:tcPr>
          <w:p w14:paraId="169463C6" w14:textId="77777777" w:rsidR="00537624" w:rsidRDefault="00537624" w:rsidP="00D44BE0">
            <w:pPr>
              <w:jc w:val="center"/>
            </w:pPr>
          </w:p>
          <w:p w14:paraId="55C46D55" w14:textId="77777777" w:rsidR="00537624" w:rsidRDefault="00537624" w:rsidP="00D44BE0">
            <w:pPr>
              <w:jc w:val="center"/>
            </w:pPr>
            <w:r>
              <w:rPr>
                <w:noProof/>
              </w:rPr>
              <w:drawing>
                <wp:inline distT="0" distB="0" distL="0" distR="0" wp14:anchorId="2B339C57" wp14:editId="76018FF7">
                  <wp:extent cx="533400" cy="3905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400" cy="390525"/>
                          </a:xfrm>
                          <a:prstGeom prst="rect">
                            <a:avLst/>
                          </a:prstGeom>
                        </pic:spPr>
                      </pic:pic>
                    </a:graphicData>
                  </a:graphic>
                </wp:inline>
              </w:drawing>
            </w:r>
          </w:p>
          <w:p w14:paraId="6BA33DE1" w14:textId="77777777" w:rsidR="00537624" w:rsidRPr="00537624" w:rsidRDefault="00537624" w:rsidP="00D44BE0">
            <w:pPr>
              <w:jc w:val="center"/>
              <w:rPr>
                <w:sz w:val="20"/>
                <w:szCs w:val="20"/>
              </w:rPr>
            </w:pPr>
          </w:p>
        </w:tc>
        <w:tc>
          <w:tcPr>
            <w:tcW w:w="3146" w:type="dxa"/>
            <w:gridSpan w:val="2"/>
            <w:vAlign w:val="center"/>
          </w:tcPr>
          <w:p w14:paraId="7089BF12" w14:textId="77777777" w:rsidR="00537624" w:rsidRPr="00767FA7" w:rsidRDefault="00537624" w:rsidP="00D44BE0">
            <w:pPr>
              <w:jc w:val="both"/>
              <w:rPr>
                <w:sz w:val="28"/>
                <w:szCs w:val="28"/>
              </w:rPr>
            </w:pPr>
            <w:r>
              <w:rPr>
                <w:sz w:val="28"/>
              </w:rPr>
              <w:t>CNG</w:t>
            </w:r>
          </w:p>
        </w:tc>
        <w:tc>
          <w:tcPr>
            <w:tcW w:w="4399" w:type="dxa"/>
            <w:gridSpan w:val="3"/>
            <w:vAlign w:val="center"/>
          </w:tcPr>
          <w:p w14:paraId="6F7409C0" w14:textId="77777777" w:rsidR="00537624" w:rsidRPr="00767FA7" w:rsidRDefault="00537624" w:rsidP="00767FA7">
            <w:pPr>
              <w:jc w:val="center"/>
              <w:rPr>
                <w:sz w:val="28"/>
                <w:szCs w:val="28"/>
              </w:rPr>
            </w:pPr>
            <w:r>
              <w:rPr>
                <w:sz w:val="28"/>
              </w:rPr>
              <w:t>… €</w:t>
            </w:r>
          </w:p>
        </w:tc>
      </w:tr>
      <w:tr w:rsidR="00537624" w14:paraId="77DA875A" w14:textId="77777777" w:rsidTr="00537624">
        <w:trPr>
          <w:trHeight w:val="567"/>
        </w:trPr>
        <w:tc>
          <w:tcPr>
            <w:tcW w:w="1517" w:type="dxa"/>
            <w:vAlign w:val="center"/>
          </w:tcPr>
          <w:p w14:paraId="0EC9967F" w14:textId="77777777" w:rsidR="00537624" w:rsidRDefault="00537624" w:rsidP="00D44BE0">
            <w:pPr>
              <w:jc w:val="center"/>
            </w:pPr>
          </w:p>
          <w:p w14:paraId="669F41A1" w14:textId="77777777" w:rsidR="00537624" w:rsidRDefault="00537624" w:rsidP="00D44BE0">
            <w:pPr>
              <w:jc w:val="center"/>
            </w:pPr>
            <w:r>
              <w:rPr>
                <w:noProof/>
              </w:rPr>
              <w:drawing>
                <wp:inline distT="0" distB="0" distL="0" distR="0" wp14:anchorId="34FCF92E" wp14:editId="67F03CB0">
                  <wp:extent cx="504825" cy="4095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825" cy="409575"/>
                          </a:xfrm>
                          <a:prstGeom prst="rect">
                            <a:avLst/>
                          </a:prstGeom>
                        </pic:spPr>
                      </pic:pic>
                    </a:graphicData>
                  </a:graphic>
                </wp:inline>
              </w:drawing>
            </w:r>
          </w:p>
          <w:p w14:paraId="06A59FDF" w14:textId="77777777" w:rsidR="00537624" w:rsidRPr="00537624" w:rsidRDefault="00537624" w:rsidP="00D44BE0">
            <w:pPr>
              <w:jc w:val="center"/>
              <w:rPr>
                <w:sz w:val="20"/>
                <w:szCs w:val="20"/>
              </w:rPr>
            </w:pPr>
          </w:p>
        </w:tc>
        <w:tc>
          <w:tcPr>
            <w:tcW w:w="3146" w:type="dxa"/>
            <w:gridSpan w:val="2"/>
            <w:vAlign w:val="center"/>
          </w:tcPr>
          <w:p w14:paraId="1AF2F472" w14:textId="77777777" w:rsidR="00537624" w:rsidRPr="00767FA7" w:rsidRDefault="00537624" w:rsidP="00D44BE0">
            <w:pPr>
              <w:jc w:val="both"/>
              <w:rPr>
                <w:sz w:val="28"/>
                <w:szCs w:val="28"/>
              </w:rPr>
            </w:pPr>
            <w:r>
              <w:rPr>
                <w:sz w:val="28"/>
              </w:rPr>
              <w:t xml:space="preserve">Wasserstoff H2 </w:t>
            </w:r>
          </w:p>
        </w:tc>
        <w:tc>
          <w:tcPr>
            <w:tcW w:w="4399" w:type="dxa"/>
            <w:gridSpan w:val="3"/>
            <w:vAlign w:val="center"/>
          </w:tcPr>
          <w:p w14:paraId="7598895C" w14:textId="77777777" w:rsidR="00537624" w:rsidRPr="00767FA7" w:rsidRDefault="00537624" w:rsidP="00767FA7">
            <w:pPr>
              <w:jc w:val="center"/>
              <w:rPr>
                <w:sz w:val="28"/>
                <w:szCs w:val="28"/>
              </w:rPr>
            </w:pPr>
            <w:r>
              <w:rPr>
                <w:sz w:val="28"/>
              </w:rPr>
              <w:t>… €</w:t>
            </w:r>
          </w:p>
        </w:tc>
      </w:tr>
      <w:tr w:rsidR="00537624" w14:paraId="01BD8413" w14:textId="77777777" w:rsidTr="00537624">
        <w:trPr>
          <w:trHeight w:val="1019"/>
        </w:trPr>
        <w:tc>
          <w:tcPr>
            <w:tcW w:w="1517" w:type="dxa"/>
            <w:vAlign w:val="center"/>
          </w:tcPr>
          <w:p w14:paraId="15878E7F" w14:textId="77777777" w:rsidR="00537624" w:rsidRDefault="00537624" w:rsidP="00D44BE0">
            <w:pPr>
              <w:jc w:val="center"/>
            </w:pPr>
          </w:p>
          <w:p w14:paraId="0C7248ED" w14:textId="77777777" w:rsidR="00537624" w:rsidRDefault="00537624" w:rsidP="00D44BE0">
            <w:pPr>
              <w:jc w:val="center"/>
            </w:pPr>
            <w:r>
              <w:rPr>
                <w:noProof/>
              </w:rPr>
              <w:drawing>
                <wp:inline distT="0" distB="0" distL="0" distR="0" wp14:anchorId="06552A1F" wp14:editId="0C3D963F">
                  <wp:extent cx="476250" cy="3905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250" cy="390525"/>
                          </a:xfrm>
                          <a:prstGeom prst="rect">
                            <a:avLst/>
                          </a:prstGeom>
                        </pic:spPr>
                      </pic:pic>
                    </a:graphicData>
                  </a:graphic>
                </wp:inline>
              </w:drawing>
            </w:r>
          </w:p>
          <w:p w14:paraId="176454B6" w14:textId="77777777" w:rsidR="00537624" w:rsidRPr="00537624" w:rsidRDefault="00537624" w:rsidP="00D44BE0">
            <w:pPr>
              <w:jc w:val="center"/>
              <w:rPr>
                <w:sz w:val="20"/>
                <w:szCs w:val="20"/>
              </w:rPr>
            </w:pPr>
          </w:p>
        </w:tc>
        <w:tc>
          <w:tcPr>
            <w:tcW w:w="3146" w:type="dxa"/>
            <w:gridSpan w:val="2"/>
            <w:vAlign w:val="center"/>
          </w:tcPr>
          <w:p w14:paraId="7F128ED3" w14:textId="77777777" w:rsidR="00537624" w:rsidRPr="00767FA7" w:rsidRDefault="00537624" w:rsidP="00D44BE0">
            <w:pPr>
              <w:jc w:val="both"/>
              <w:rPr>
                <w:sz w:val="28"/>
                <w:szCs w:val="28"/>
              </w:rPr>
            </w:pPr>
            <w:r>
              <w:rPr>
                <w:sz w:val="28"/>
              </w:rPr>
              <w:t>LPG</w:t>
            </w:r>
          </w:p>
        </w:tc>
        <w:tc>
          <w:tcPr>
            <w:tcW w:w="4399" w:type="dxa"/>
            <w:gridSpan w:val="3"/>
            <w:vAlign w:val="center"/>
          </w:tcPr>
          <w:p w14:paraId="05FE2426" w14:textId="77777777" w:rsidR="00537624" w:rsidRPr="00767FA7" w:rsidRDefault="00537624" w:rsidP="00767FA7">
            <w:pPr>
              <w:jc w:val="center"/>
              <w:rPr>
                <w:sz w:val="28"/>
                <w:szCs w:val="28"/>
              </w:rPr>
            </w:pPr>
            <w:r>
              <w:rPr>
                <w:sz w:val="28"/>
              </w:rPr>
              <w:t>… €</w:t>
            </w:r>
          </w:p>
        </w:tc>
      </w:tr>
      <w:tr w:rsidR="00537624" w14:paraId="5FE91D10" w14:textId="77777777" w:rsidTr="00537624">
        <w:trPr>
          <w:trHeight w:val="567"/>
        </w:trPr>
        <w:tc>
          <w:tcPr>
            <w:tcW w:w="1517" w:type="dxa"/>
            <w:vAlign w:val="center"/>
          </w:tcPr>
          <w:p w14:paraId="5E807E34" w14:textId="77777777" w:rsidR="00537624" w:rsidRDefault="00537624" w:rsidP="00D44BE0">
            <w:pPr>
              <w:jc w:val="center"/>
            </w:pPr>
          </w:p>
          <w:p w14:paraId="02767EAB" w14:textId="77777777" w:rsidR="00537624" w:rsidRDefault="00537624" w:rsidP="00D44BE0">
            <w:pPr>
              <w:jc w:val="center"/>
            </w:pPr>
            <w:r>
              <w:rPr>
                <w:noProof/>
              </w:rPr>
              <w:drawing>
                <wp:inline distT="0" distB="0" distL="0" distR="0" wp14:anchorId="31B99E18" wp14:editId="38F2C2D4">
                  <wp:extent cx="485775" cy="3810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775" cy="381000"/>
                          </a:xfrm>
                          <a:prstGeom prst="rect">
                            <a:avLst/>
                          </a:prstGeom>
                        </pic:spPr>
                      </pic:pic>
                    </a:graphicData>
                  </a:graphic>
                </wp:inline>
              </w:drawing>
            </w:r>
          </w:p>
          <w:p w14:paraId="16E60E36" w14:textId="77777777" w:rsidR="00537624" w:rsidRPr="00537624" w:rsidRDefault="00537624" w:rsidP="00D44BE0">
            <w:pPr>
              <w:jc w:val="center"/>
              <w:rPr>
                <w:sz w:val="20"/>
                <w:szCs w:val="20"/>
              </w:rPr>
            </w:pPr>
          </w:p>
        </w:tc>
        <w:tc>
          <w:tcPr>
            <w:tcW w:w="3146" w:type="dxa"/>
            <w:gridSpan w:val="2"/>
            <w:vAlign w:val="center"/>
          </w:tcPr>
          <w:p w14:paraId="12BBE7EB" w14:textId="77777777" w:rsidR="00537624" w:rsidRPr="00767FA7" w:rsidRDefault="00537624" w:rsidP="00D44BE0">
            <w:pPr>
              <w:jc w:val="both"/>
              <w:rPr>
                <w:sz w:val="28"/>
                <w:szCs w:val="28"/>
              </w:rPr>
            </w:pPr>
            <w:r>
              <w:rPr>
                <w:sz w:val="28"/>
              </w:rPr>
              <w:t>Benzin 95 E10</w:t>
            </w:r>
          </w:p>
        </w:tc>
        <w:tc>
          <w:tcPr>
            <w:tcW w:w="4399" w:type="dxa"/>
            <w:gridSpan w:val="3"/>
            <w:vAlign w:val="center"/>
          </w:tcPr>
          <w:p w14:paraId="4DBCD2A0" w14:textId="77777777" w:rsidR="00537624" w:rsidRPr="00767FA7" w:rsidRDefault="00537624" w:rsidP="00767FA7">
            <w:pPr>
              <w:jc w:val="center"/>
              <w:rPr>
                <w:sz w:val="28"/>
                <w:szCs w:val="28"/>
              </w:rPr>
            </w:pPr>
            <w:r>
              <w:rPr>
                <w:sz w:val="28"/>
              </w:rPr>
              <w:t>… €</w:t>
            </w:r>
          </w:p>
        </w:tc>
      </w:tr>
      <w:tr w:rsidR="00537624" w14:paraId="124C8363" w14:textId="77777777" w:rsidTr="00537624">
        <w:trPr>
          <w:trHeight w:val="567"/>
        </w:trPr>
        <w:tc>
          <w:tcPr>
            <w:tcW w:w="1517" w:type="dxa"/>
            <w:vAlign w:val="center"/>
          </w:tcPr>
          <w:p w14:paraId="0D0CDFF5" w14:textId="77777777" w:rsidR="00537624" w:rsidRDefault="00537624" w:rsidP="00D44BE0">
            <w:pPr>
              <w:jc w:val="center"/>
            </w:pPr>
          </w:p>
          <w:p w14:paraId="41F8781F" w14:textId="77777777" w:rsidR="00537624" w:rsidRDefault="00537624" w:rsidP="00D44BE0">
            <w:pPr>
              <w:jc w:val="center"/>
            </w:pPr>
            <w:r>
              <w:rPr>
                <w:noProof/>
              </w:rPr>
              <w:drawing>
                <wp:inline distT="0" distB="0" distL="0" distR="0" wp14:anchorId="54291D20" wp14:editId="484F33DC">
                  <wp:extent cx="447675" cy="40005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7675" cy="400050"/>
                          </a:xfrm>
                          <a:prstGeom prst="rect">
                            <a:avLst/>
                          </a:prstGeom>
                        </pic:spPr>
                      </pic:pic>
                    </a:graphicData>
                  </a:graphic>
                </wp:inline>
              </w:drawing>
            </w:r>
          </w:p>
          <w:p w14:paraId="742506FD" w14:textId="77777777" w:rsidR="00537624" w:rsidRPr="00537624" w:rsidRDefault="00537624" w:rsidP="00D44BE0">
            <w:pPr>
              <w:jc w:val="center"/>
              <w:rPr>
                <w:sz w:val="20"/>
                <w:szCs w:val="20"/>
              </w:rPr>
            </w:pPr>
          </w:p>
        </w:tc>
        <w:tc>
          <w:tcPr>
            <w:tcW w:w="3146" w:type="dxa"/>
            <w:gridSpan w:val="2"/>
            <w:vAlign w:val="center"/>
          </w:tcPr>
          <w:p w14:paraId="4B8A0DEC" w14:textId="77777777" w:rsidR="00537624" w:rsidRPr="00767FA7" w:rsidRDefault="00537624" w:rsidP="00D44BE0">
            <w:pPr>
              <w:jc w:val="both"/>
              <w:rPr>
                <w:sz w:val="28"/>
                <w:szCs w:val="28"/>
              </w:rPr>
            </w:pPr>
            <w:r>
              <w:rPr>
                <w:sz w:val="28"/>
              </w:rPr>
              <w:t>Diesel B7</w:t>
            </w:r>
          </w:p>
        </w:tc>
        <w:tc>
          <w:tcPr>
            <w:tcW w:w="4399" w:type="dxa"/>
            <w:gridSpan w:val="3"/>
            <w:vAlign w:val="center"/>
          </w:tcPr>
          <w:p w14:paraId="0A44F3E0" w14:textId="77777777" w:rsidR="00537624" w:rsidRPr="00767FA7" w:rsidRDefault="00537624" w:rsidP="00767FA7">
            <w:pPr>
              <w:jc w:val="center"/>
              <w:rPr>
                <w:sz w:val="28"/>
                <w:szCs w:val="28"/>
              </w:rPr>
            </w:pPr>
            <w:r>
              <w:rPr>
                <w:sz w:val="28"/>
              </w:rPr>
              <w:t>… €</w:t>
            </w:r>
          </w:p>
        </w:tc>
      </w:tr>
      <w:tr w:rsidR="00537624" w:rsidRPr="00537624" w14:paraId="06ECDFF3" w14:textId="77777777" w:rsidTr="00537624">
        <w:trPr>
          <w:trHeight w:val="567"/>
        </w:trPr>
        <w:tc>
          <w:tcPr>
            <w:tcW w:w="4663" w:type="dxa"/>
            <w:gridSpan w:val="3"/>
            <w:vAlign w:val="center"/>
          </w:tcPr>
          <w:p w14:paraId="1C592A7C" w14:textId="77777777" w:rsidR="00537624" w:rsidRPr="00537624" w:rsidRDefault="00537624" w:rsidP="00D44BE0">
            <w:pPr>
              <w:jc w:val="both"/>
              <w:rPr>
                <w:sz w:val="20"/>
                <w:szCs w:val="20"/>
                <w:lang w:val="de-DE"/>
              </w:rPr>
            </w:pPr>
            <w:r w:rsidRPr="00537624">
              <w:rPr>
                <w:sz w:val="20"/>
                <w:lang w:val="de-DE"/>
              </w:rPr>
              <w:t>* Geschätzter Preis für eine Aufladung zu Hause</w:t>
            </w:r>
          </w:p>
        </w:tc>
        <w:tc>
          <w:tcPr>
            <w:tcW w:w="4399" w:type="dxa"/>
            <w:gridSpan w:val="3"/>
            <w:vAlign w:val="center"/>
          </w:tcPr>
          <w:p w14:paraId="23BF8F65" w14:textId="77777777" w:rsidR="00537624" w:rsidRPr="00537624" w:rsidRDefault="00537624" w:rsidP="00D44BE0">
            <w:pPr>
              <w:jc w:val="both"/>
              <w:rPr>
                <w:lang w:val="de-DE"/>
              </w:rPr>
            </w:pPr>
          </w:p>
        </w:tc>
      </w:tr>
      <w:tr w:rsidR="00537624" w:rsidRPr="00537624" w14:paraId="3306FF15" w14:textId="77777777" w:rsidTr="00537624">
        <w:trPr>
          <w:trHeight w:val="567"/>
        </w:trPr>
        <w:tc>
          <w:tcPr>
            <w:tcW w:w="9062" w:type="dxa"/>
            <w:gridSpan w:val="6"/>
            <w:vAlign w:val="center"/>
          </w:tcPr>
          <w:p w14:paraId="485820FA" w14:textId="77777777" w:rsidR="00537624" w:rsidRPr="00537624" w:rsidRDefault="00537624" w:rsidP="00767FA7">
            <w:pPr>
              <w:jc w:val="center"/>
              <w:rPr>
                <w:b/>
                <w:sz w:val="28"/>
                <w:szCs w:val="28"/>
                <w:lang w:val="de-DE"/>
              </w:rPr>
            </w:pPr>
            <w:r w:rsidRPr="00537624">
              <w:rPr>
                <w:b/>
                <w:color w:val="948A54" w:themeColor="background2" w:themeShade="80"/>
                <w:sz w:val="28"/>
                <w:lang w:val="de-DE"/>
              </w:rPr>
              <w:t>Weitere Infos:</w:t>
            </w:r>
            <w:r w:rsidRPr="00537624">
              <w:rPr>
                <w:lang w:val="de-DE"/>
              </w:rPr>
              <w:t xml:space="preserve"> </w:t>
            </w:r>
            <w:r w:rsidRPr="00537624">
              <w:rPr>
                <w:b/>
                <w:sz w:val="28"/>
                <w:lang w:val="de-DE"/>
              </w:rPr>
              <w:t>https://economie.fgov.be/de/themen/energie/kraftstoffe</w:t>
            </w:r>
          </w:p>
          <w:p w14:paraId="77F5FD65" w14:textId="77777777" w:rsidR="00537624" w:rsidRPr="00537624" w:rsidRDefault="00537624" w:rsidP="00767FA7">
            <w:pPr>
              <w:jc w:val="center"/>
              <w:rPr>
                <w:lang w:val="de-DE"/>
              </w:rPr>
            </w:pPr>
          </w:p>
        </w:tc>
      </w:tr>
      <w:tr w:rsidR="00537624" w14:paraId="25F57302" w14:textId="77777777" w:rsidTr="00537624">
        <w:trPr>
          <w:trHeight w:val="567"/>
        </w:trPr>
        <w:tc>
          <w:tcPr>
            <w:tcW w:w="3823" w:type="dxa"/>
            <w:gridSpan w:val="2"/>
            <w:vAlign w:val="center"/>
          </w:tcPr>
          <w:p w14:paraId="2E7497FB" w14:textId="77777777" w:rsidR="00537624" w:rsidRDefault="00537624" w:rsidP="00D44BE0">
            <w:pPr>
              <w:jc w:val="both"/>
            </w:pPr>
            <w:r>
              <w:rPr>
                <w:noProof/>
              </w:rPr>
              <w:drawing>
                <wp:inline distT="0" distB="0" distL="0" distR="0" wp14:anchorId="21855398" wp14:editId="12E4AB70">
                  <wp:extent cx="1892461" cy="53899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9783" cy="566710"/>
                          </a:xfrm>
                          <a:prstGeom prst="rect">
                            <a:avLst/>
                          </a:prstGeom>
                          <a:noFill/>
                          <a:ln>
                            <a:noFill/>
                          </a:ln>
                        </pic:spPr>
                      </pic:pic>
                    </a:graphicData>
                  </a:graphic>
                </wp:inline>
              </w:drawing>
            </w:r>
          </w:p>
        </w:tc>
        <w:tc>
          <w:tcPr>
            <w:tcW w:w="3118" w:type="dxa"/>
            <w:gridSpan w:val="3"/>
            <w:vAlign w:val="center"/>
          </w:tcPr>
          <w:p w14:paraId="49F7395F" w14:textId="77777777" w:rsidR="00537624" w:rsidRDefault="00537624" w:rsidP="00767FA7">
            <w:pPr>
              <w:jc w:val="center"/>
            </w:pPr>
            <w:r>
              <w:rPr>
                <w:noProof/>
              </w:rPr>
              <w:drawing>
                <wp:inline distT="0" distB="0" distL="0" distR="0" wp14:anchorId="6991AA85" wp14:editId="1447B16C">
                  <wp:extent cx="1285875" cy="7810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5875" cy="781050"/>
                          </a:xfrm>
                          <a:prstGeom prst="rect">
                            <a:avLst/>
                          </a:prstGeom>
                        </pic:spPr>
                      </pic:pic>
                    </a:graphicData>
                  </a:graphic>
                </wp:inline>
              </w:drawing>
            </w:r>
          </w:p>
          <w:p w14:paraId="2C60CC67" w14:textId="77777777" w:rsidR="00537624" w:rsidRDefault="00537624" w:rsidP="00767FA7">
            <w:pPr>
              <w:jc w:val="center"/>
            </w:pPr>
          </w:p>
        </w:tc>
        <w:tc>
          <w:tcPr>
            <w:tcW w:w="2121" w:type="dxa"/>
            <w:vAlign w:val="center"/>
          </w:tcPr>
          <w:p w14:paraId="188E4B8F" w14:textId="77777777" w:rsidR="00537624" w:rsidRDefault="00537624" w:rsidP="00767FA7">
            <w:pPr>
              <w:jc w:val="right"/>
            </w:pPr>
            <w:r>
              <w:rPr>
                <w:noProof/>
              </w:rPr>
              <w:drawing>
                <wp:inline distT="0" distB="0" distL="0" distR="0" wp14:anchorId="1D6E2E70" wp14:editId="26F84CFD">
                  <wp:extent cx="419100" cy="3524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9100" cy="352425"/>
                          </a:xfrm>
                          <a:prstGeom prst="rect">
                            <a:avLst/>
                          </a:prstGeom>
                        </pic:spPr>
                      </pic:pic>
                    </a:graphicData>
                  </a:graphic>
                </wp:inline>
              </w:drawing>
            </w:r>
          </w:p>
        </w:tc>
      </w:tr>
      <w:bookmarkEnd w:id="0"/>
    </w:tbl>
    <w:p w14:paraId="58BC2541" w14:textId="77777777" w:rsidR="00233F36" w:rsidRPr="00C80000" w:rsidRDefault="00233F36" w:rsidP="00537624">
      <w:pPr>
        <w:jc w:val="both"/>
        <w:rPr>
          <w:lang w:val="de-DE"/>
        </w:rPr>
      </w:pPr>
    </w:p>
    <w:sectPr w:rsidR="00233F36" w:rsidRPr="00C80000" w:rsidSect="00537624">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204026058">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11F7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37624"/>
    <w:rsid w:val="005D55BA"/>
    <w:rsid w:val="005D7469"/>
    <w:rsid w:val="006A75AF"/>
    <w:rsid w:val="006F4381"/>
    <w:rsid w:val="00786C4F"/>
    <w:rsid w:val="007A515C"/>
    <w:rsid w:val="007D5F55"/>
    <w:rsid w:val="00800E1A"/>
    <w:rsid w:val="008C2124"/>
    <w:rsid w:val="00984B96"/>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CDB8D"/>
  <w15:docId w15:val="{6B03DEC7-CE0C-44EA-9661-86F83910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2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table" w:styleId="Grilledutableau">
    <w:name w:val="Table Grid"/>
    <w:basedOn w:val="TableauNormal"/>
    <w:uiPriority w:val="39"/>
    <w:locked/>
    <w:rsid w:val="00537624"/>
    <w:rPr>
      <w:rFonts w:eastAsiaTheme="minorHAns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1384</Words>
  <Characters>8662</Characters>
  <Application>Microsoft Office Word</Application>
  <DocSecurity>0</DocSecurity>
  <Lines>72</Lines>
  <Paragraphs>20</Paragraphs>
  <ScaleCrop>false</ScaleCrop>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5</cp:revision>
  <cp:lastPrinted>2023-05-16T09:43:00Z</cp:lastPrinted>
  <dcterms:created xsi:type="dcterms:W3CDTF">2023-05-16T07:50:00Z</dcterms:created>
  <dcterms:modified xsi:type="dcterms:W3CDTF">2023-05-16T10:18:00Z</dcterms:modified>
</cp:coreProperties>
</file>